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72" w:rsidRPr="00D25F72" w:rsidRDefault="00D25F72" w:rsidP="00D25F72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  <w:r w:rsidRPr="00D25F72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Госпрограммы поддержки малого бизнеса — 2023</w:t>
      </w:r>
    </w:p>
    <w:p w:rsidR="00D25F72" w:rsidRPr="00D25F72" w:rsidRDefault="00D25F72" w:rsidP="00D25F7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25F72">
        <w:rPr>
          <w:rFonts w:ascii="Times New Roman" w:eastAsia="Times New Roman" w:hAnsi="Times New Roman" w:cs="Times New Roman"/>
          <w:sz w:val="24"/>
          <w:szCs w:val="24"/>
        </w:rPr>
        <w:t>22 февраля 2023</w:t>
      </w:r>
      <w:r w:rsidRPr="00D25F7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25F72" w:rsidRPr="00D25F72" w:rsidRDefault="00D25F72" w:rsidP="00D25F7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33"/>
          <w:szCs w:val="33"/>
        </w:rPr>
      </w:pPr>
      <w:r w:rsidRPr="00D25F72">
        <w:rPr>
          <w:rFonts w:ascii="Arial" w:eastAsia="Times New Roman" w:hAnsi="Arial" w:cs="Arial"/>
          <w:color w:val="222222"/>
          <w:sz w:val="33"/>
          <w:szCs w:val="33"/>
        </w:rPr>
        <w:t>Часть госпрограмм, которые были приняты до введения санкций, продолжают действовать. Но помимо них вводятся дополнительные меры для развития бизнеса в кризисных условиях.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На сегодняшний день государство предлагает широкий спектр мер </w:t>
      </w:r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поддержки</w:t>
      </w:r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как для начинающих предпринимателей, так и для уже работающих бизнесов. Эти меры становятся частью общей концепции развития бизнеса.</w:t>
      </w:r>
    </w:p>
    <w:p w:rsidR="00D25F72" w:rsidRPr="00D25F72" w:rsidRDefault="00D25F72" w:rsidP="00D25F72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5" w:anchor="header_25703_1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Проекты по поддержке бизнеса от Банка России</w:t>
        </w:r>
      </w:hyperlink>
    </w:p>
    <w:p w:rsidR="00D25F72" w:rsidRPr="00D25F72" w:rsidRDefault="00D25F72" w:rsidP="00D25F72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6" w:anchor="header_25703_2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Цифровая платформа МСП как экосистема поддержки бизнеса</w:t>
        </w:r>
      </w:hyperlink>
    </w:p>
    <w:p w:rsidR="00D25F72" w:rsidRPr="00D25F72" w:rsidRDefault="00D25F72" w:rsidP="00D25F72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7" w:anchor="header_25703_3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Социальный контракт на открытие бизнеса</w:t>
        </w:r>
      </w:hyperlink>
    </w:p>
    <w:p w:rsidR="00D25F72" w:rsidRPr="00D25F72" w:rsidRDefault="00D25F72" w:rsidP="00D25F72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 </w:t>
      </w:r>
      <w:proofErr w:type="spellStart"/>
      <w:r w:rsidR="00537BE9" w:rsidRPr="00D25F72">
        <w:rPr>
          <w:rFonts w:ascii="Arial" w:eastAsia="Times New Roman" w:hAnsi="Arial" w:cs="Arial"/>
          <w:color w:val="222222"/>
          <w:sz w:val="27"/>
          <w:szCs w:val="27"/>
        </w:rPr>
        <w:fldChar w:fldCharType="begin"/>
      </w:r>
      <w:r w:rsidRPr="00D25F72">
        <w:rPr>
          <w:rFonts w:ascii="Arial" w:eastAsia="Times New Roman" w:hAnsi="Arial" w:cs="Arial"/>
          <w:color w:val="222222"/>
          <w:sz w:val="27"/>
          <w:szCs w:val="27"/>
        </w:rPr>
        <w:instrText xml:space="preserve"> HYPERLINK "https://kontur.ru/articles/4710" \l "header_25703_5" </w:instrText>
      </w:r>
      <w:r w:rsidR="00537BE9" w:rsidRPr="00D25F72">
        <w:rPr>
          <w:rFonts w:ascii="Arial" w:eastAsia="Times New Roman" w:hAnsi="Arial" w:cs="Arial"/>
          <w:color w:val="222222"/>
          <w:sz w:val="27"/>
          <w:szCs w:val="27"/>
        </w:rPr>
        <w:fldChar w:fldCharType="separate"/>
      </w:r>
      <w:r w:rsidRPr="00D25F72">
        <w:rPr>
          <w:rFonts w:ascii="Arial" w:eastAsia="Times New Roman" w:hAnsi="Arial" w:cs="Arial"/>
          <w:color w:val="0000FF"/>
          <w:sz w:val="27"/>
          <w:u w:val="single"/>
        </w:rPr>
        <w:t>Грантовая</w:t>
      </w:r>
      <w:proofErr w:type="spellEnd"/>
      <w:r w:rsidRPr="00D25F72">
        <w:rPr>
          <w:rFonts w:ascii="Arial" w:eastAsia="Times New Roman" w:hAnsi="Arial" w:cs="Arial"/>
          <w:color w:val="0000FF"/>
          <w:sz w:val="27"/>
          <w:u w:val="single"/>
        </w:rPr>
        <w:t xml:space="preserve"> поддержка</w:t>
      </w:r>
      <w:r w:rsidR="00537BE9" w:rsidRPr="00D25F72">
        <w:rPr>
          <w:rFonts w:ascii="Arial" w:eastAsia="Times New Roman" w:hAnsi="Arial" w:cs="Arial"/>
          <w:color w:val="222222"/>
          <w:sz w:val="27"/>
          <w:szCs w:val="27"/>
        </w:rPr>
        <w:fldChar w:fldCharType="end"/>
      </w:r>
    </w:p>
    <w:p w:rsidR="00D25F72" w:rsidRPr="00D25F72" w:rsidRDefault="00D25F72" w:rsidP="00D25F72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8" w:anchor="header_25703_6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Какие программы господдержки действуют в 2023 году</w:t>
        </w:r>
      </w:hyperlink>
    </w:p>
    <w:p w:rsidR="00D25F72" w:rsidRPr="00D25F72" w:rsidRDefault="00D25F72" w:rsidP="00D25F72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9" w:anchor="header_25703_8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 xml:space="preserve">Поддержка малого </w:t>
        </w:r>
        <w:proofErr w:type="spellStart"/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агробизнеса</w:t>
        </w:r>
        <w:proofErr w:type="spellEnd"/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 xml:space="preserve"> в 2023 году</w:t>
        </w:r>
      </w:hyperlink>
    </w:p>
    <w:p w:rsidR="00D25F72" w:rsidRPr="00D25F72" w:rsidRDefault="00D25F72" w:rsidP="00D25F72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10" w:anchor="header_25703_9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Федеральные программы поддержки бизнеса</w:t>
        </w:r>
      </w:hyperlink>
    </w:p>
    <w:p w:rsidR="00D25F72" w:rsidRPr="00D25F72" w:rsidRDefault="00D25F72" w:rsidP="00D25F72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11" w:anchor="7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Региональные программы поддержки</w:t>
        </w:r>
      </w:hyperlink>
    </w:p>
    <w:p w:rsidR="00D25F72" w:rsidRPr="00D25F72" w:rsidRDefault="00D25F72" w:rsidP="00D25F72">
      <w:pPr>
        <w:numPr>
          <w:ilvl w:val="0"/>
          <w:numId w:val="1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 </w:t>
      </w:r>
      <w:hyperlink r:id="rId12" w:anchor="8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 xml:space="preserve">Поддержка </w:t>
        </w:r>
        <w:proofErr w:type="spellStart"/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самозанятых</w:t>
        </w:r>
        <w:proofErr w:type="spellEnd"/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 xml:space="preserve"> в 2023 году</w:t>
        </w:r>
      </w:hyperlink>
    </w:p>
    <w:p w:rsidR="00D25F72" w:rsidRPr="00D25F72" w:rsidRDefault="00D25F72" w:rsidP="00D25F72">
      <w:pPr>
        <w:shd w:val="clear" w:color="auto" w:fill="FFFFFF"/>
        <w:spacing w:before="8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</w:rPr>
      </w:pPr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>Проекты по поддержке бизнеса от Банка России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На ближайшие два года Банк России разработал Дорожную карту поддержки малого и среднего бизнеса, ее основная цель — сделать более доступными кредиты. Но есть и другие </w:t>
      </w:r>
      <w:hyperlink r:id="rId13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меры поддержки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, которые предусмотрены на 2023-2024 гг.:</w:t>
      </w:r>
    </w:p>
    <w:p w:rsidR="00D25F72" w:rsidRPr="00D25F72" w:rsidRDefault="00D25F72" w:rsidP="00D25F72">
      <w:pPr>
        <w:numPr>
          <w:ilvl w:val="0"/>
          <w:numId w:val="2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распространение льготных программ на факторинг;</w:t>
      </w:r>
    </w:p>
    <w:p w:rsidR="00D25F72" w:rsidRPr="00D25F72" w:rsidRDefault="00D25F72" w:rsidP="00D25F72">
      <w:pPr>
        <w:numPr>
          <w:ilvl w:val="0"/>
          <w:numId w:val="2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>расширение возможностей бизнеса по использованию небанковских источников финансирования;</w:t>
      </w:r>
    </w:p>
    <w:p w:rsidR="00D25F72" w:rsidRPr="00D25F72" w:rsidRDefault="00D25F72" w:rsidP="00D25F72">
      <w:pPr>
        <w:numPr>
          <w:ilvl w:val="0"/>
          <w:numId w:val="2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предоставление малому и среднему бизнесу доступа к сервису «</w:t>
      </w:r>
      <w:hyperlink r:id="rId14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Знай своего клиента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» для проверки контрагентов;</w:t>
      </w:r>
    </w:p>
    <w:p w:rsidR="00D25F72" w:rsidRPr="00D25F72" w:rsidRDefault="00D25F72" w:rsidP="00D25F72">
      <w:pPr>
        <w:numPr>
          <w:ilvl w:val="0"/>
          <w:numId w:val="2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снижение транзакционных издержек благодаря приему оплаты через </w:t>
      </w:r>
      <w:hyperlink r:id="rId15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Систему быстрых платежей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D25F72" w:rsidRPr="00D25F72" w:rsidRDefault="00537BE9" w:rsidP="00D2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537BE9">
        <w:rPr>
          <w:rFonts w:ascii="Arial" w:eastAsia="Times New Roman" w:hAnsi="Arial" w:cs="Arial"/>
          <w:color w:val="222222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ournal" style="width:48pt;height:48pt"/>
        </w:pict>
      </w:r>
    </w:p>
    <w:p w:rsidR="00D25F72" w:rsidRPr="00D25F72" w:rsidRDefault="00D25F72" w:rsidP="00D25F7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D25F72" w:rsidRPr="00D25F72" w:rsidRDefault="00D25F72" w:rsidP="00D25F72">
      <w:pPr>
        <w:shd w:val="clear" w:color="auto" w:fill="FFFFFF"/>
        <w:spacing w:before="8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</w:rPr>
      </w:pPr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>Цифровая платформа МСП как экосистема поддержки бизнеса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Основным источником получения информации о мерах поддержки на сегодняшний день является </w:t>
      </w:r>
      <w:hyperlink r:id="rId16" w:anchor="services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Цифровая платформа МСП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. По сути это система персонального подбора услуг, которые можно оформлять дистанционно.  </w:t>
      </w:r>
    </w:p>
    <w:p w:rsidR="00D25F72" w:rsidRPr="00D25F72" w:rsidRDefault="00537BE9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hyperlink r:id="rId17" w:tgtFrame="_blank" w:history="1"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Постановление Правительства РФ от 21.12.2021 №2371</w:t>
        </w:r>
      </w:hyperlink>
      <w:r w:rsidR="00D25F72" w:rsidRPr="00D25F72">
        <w:rPr>
          <w:rFonts w:ascii="Arial" w:eastAsia="Times New Roman" w:hAnsi="Arial" w:cs="Arial"/>
          <w:color w:val="222222"/>
          <w:sz w:val="27"/>
          <w:szCs w:val="27"/>
        </w:rPr>
        <w:t> утвердило сроки запуска эксперимента по оказанию поддержки на базе цифровой платформы МСП. Он стартовал с 1 февраля 2022 года и продлится до 1 февраля 2025 года.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Поддержка затрагивает:</w:t>
      </w:r>
    </w:p>
    <w:p w:rsidR="00D25F72" w:rsidRPr="00D25F72" w:rsidRDefault="00D25F72" w:rsidP="00D25F72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малый и средний бизнес;</w:t>
      </w:r>
    </w:p>
    <w:p w:rsidR="00D25F72" w:rsidRPr="00D25F72" w:rsidRDefault="00D25F72" w:rsidP="00D25F72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самозанятых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>;</w:t>
      </w:r>
    </w:p>
    <w:p w:rsidR="00D25F72" w:rsidRPr="00D25F72" w:rsidRDefault="00D25F72" w:rsidP="00D25F72">
      <w:pPr>
        <w:numPr>
          <w:ilvl w:val="0"/>
          <w:numId w:val="3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граждан, которые только собираются начать свое дело.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Предполагается, что новый подход максимально упростит открытие, ведение и развитие бизнеса. К платформе подключатся федеральные министерства и ведомства, институты развития, банки и страховые организации. Все они будут обмениваться нужной информацией через систему межведомственного электронного взаимодействия.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Цель новшества — объединить в экосистеме все сервисы для МСП и позволить предпринимателям выбирать и получать необходимые меры </w:t>
      </w: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>поддержки дистанционно. Цифровая платформа обеспечивает адресный подбор и 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проактивное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одобрение мер поддержки, а также предоставление услуг, которые требуются на разных этапах развития бизнеса, без личного присутствия предпринимателей. В 2023 году на платформе доступны более 20 различных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онлайн-сервисов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и порядка 350 мер поддержки.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У каждого пользователя платформы формируется свой цифровой профиль. Благодаря этому федеральные и региональные инструменты поддержки и сервисы предлагаются участникам с учетом потребностей и стадии развития бизнеса.</w:t>
      </w:r>
    </w:p>
    <w:p w:rsidR="00D25F72" w:rsidRPr="00D25F72" w:rsidRDefault="00D25F72" w:rsidP="00D25F72">
      <w:pPr>
        <w:shd w:val="clear" w:color="auto" w:fill="FFFFFF"/>
        <w:spacing w:before="8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</w:rPr>
      </w:pPr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>Социальный контракт на открытие бизнеса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Для тех, кто планирует открыть свое дело и вести личное подсобное хозяйство, предусмотрены единовременные выплаты по социальному контракту (</w:t>
      </w:r>
      <w:hyperlink r:id="rId18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Постановлению Правительства от 29.06.2022 № 1160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). В 2023 году максимальная выплата для ИП составляет 350 000 руб., а для граждан, ведущих личное подсобное хозяйство, — 200 000 руб.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Узнайте, </w:t>
      </w:r>
      <w:hyperlink r:id="rId19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как оформить социальный контракт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 и получить деньги на открытие бизнеса в 2023 году.</w:t>
      </w:r>
    </w:p>
    <w:p w:rsidR="00D25F72" w:rsidRPr="00D25F72" w:rsidRDefault="00D25F72" w:rsidP="00D25F72">
      <w:pPr>
        <w:shd w:val="clear" w:color="auto" w:fill="FFFFFF"/>
        <w:spacing w:before="8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</w:rPr>
      </w:pPr>
      <w:proofErr w:type="spellStart"/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>Грантовая</w:t>
      </w:r>
      <w:proofErr w:type="spellEnd"/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 xml:space="preserve"> поддержка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Такую меру господдержки обычно оказывают региональные власти. </w:t>
      </w:r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Грант предоставляется как начинающему, так и опытному предпринимателю в форме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софинансирования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или на безвозвратной и безвозмездной основах.</w:t>
      </w:r>
      <w:proofErr w:type="gramEnd"/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Но 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>Ближайший год однозначно будут поддерживать такие направления, как IT, туризм, АПК.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Чтобы узнать подробности получения грантов и субсидий, заходите на официальные государственные сайты, которые предоставляют информацию о мерах поддержки бизнеса. Так, например, на сайте Министерства экономики Республики Татарстан подробно расписаны все направления </w:t>
      </w:r>
      <w:hyperlink r:id="rId20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государственной поддержки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. По Подмосковью такую информацию дает сайт </w:t>
      </w:r>
      <w:hyperlink r:id="rId21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Центра Развития Предпринимательства Московской Области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. На сайте «</w:t>
      </w:r>
      <w:hyperlink r:id="rId22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Малый бизнес Кубани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» приводится подробный список субсидий для предпринимателей, работающих на юге России.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Проще воспользоваться поиском в разделе «</w:t>
      </w:r>
      <w:hyperlink r:id="rId23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Центры инфраструктуры МСП в вашем регионе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» на сайте «Мой бизнес». Просто укажите на карте регион — и система выдаст информацию о местных отделениях, в том числе сайт, на котором можно найти всю информацию по поддержке.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Гранты для молодых предпринимателей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Эта поддержка распространяется на все субъекты МСП, зарегистрированные лицами в возрасте от 14 до 25 лет. Минимальная сумма гранта — 100 000 руб., максимальная — 500 000 руб.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Деньги можно использовать на компенсацию аренды и ремонта нежилого помещения, приобретение необходимых стройматериалов и оборудования, оплату коммуналки и услуг электроснабжения и др. Ознакомиться с </w:t>
      </w:r>
      <w:hyperlink r:id="rId24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условиями программы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Гранты для социального бизнеса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В 2023 году государство продолжит выдавать гранты до 500 000 руб. социальным предприятиям. Для регионов Арктической зоны сумма поддержки выше — до 1 </w:t>
      </w:r>
      <w:proofErr w:type="spellStart"/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млн</w:t>
      </w:r>
      <w:proofErr w:type="spellEnd"/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На что можно потратить деньги:</w:t>
      </w:r>
    </w:p>
    <w:p w:rsidR="00D25F72" w:rsidRPr="00D25F72" w:rsidRDefault="00D25F72" w:rsidP="00D25F72">
      <w:pPr>
        <w:numPr>
          <w:ilvl w:val="0"/>
          <w:numId w:val="4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аренда и ремонт помещения;</w:t>
      </w:r>
    </w:p>
    <w:p w:rsidR="00D25F72" w:rsidRPr="00D25F72" w:rsidRDefault="00D25F72" w:rsidP="00D25F72">
      <w:pPr>
        <w:numPr>
          <w:ilvl w:val="0"/>
          <w:numId w:val="4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лизинговые платежи;</w:t>
      </w:r>
    </w:p>
    <w:p w:rsidR="00D25F72" w:rsidRPr="00D25F72" w:rsidRDefault="00D25F72" w:rsidP="00D25F72">
      <w:pPr>
        <w:numPr>
          <w:ilvl w:val="0"/>
          <w:numId w:val="4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>оплата коммунальных услуг;</w:t>
      </w:r>
    </w:p>
    <w:p w:rsidR="00D25F72" w:rsidRPr="00D25F72" w:rsidRDefault="00D25F72" w:rsidP="00D25F72">
      <w:pPr>
        <w:numPr>
          <w:ilvl w:val="0"/>
          <w:numId w:val="4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приобретение оргтехники и оборудования;</w:t>
      </w:r>
    </w:p>
    <w:p w:rsidR="00D25F72" w:rsidRPr="00D25F72" w:rsidRDefault="00D25F72" w:rsidP="00D25F72">
      <w:pPr>
        <w:numPr>
          <w:ilvl w:val="0"/>
          <w:numId w:val="4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покупка сырья, </w:t>
      </w:r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ПО</w:t>
      </w:r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>, комплектующих для 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медтехники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или протезно-ортопедических изделий;</w:t>
      </w:r>
    </w:p>
    <w:p w:rsidR="00D25F72" w:rsidRPr="00D25F72" w:rsidRDefault="00D25F72" w:rsidP="00D25F72">
      <w:pPr>
        <w:numPr>
          <w:ilvl w:val="0"/>
          <w:numId w:val="4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переоборудование транспортных сре</w:t>
      </w:r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дств дл</w:t>
      </w:r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я перевозки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маломобильных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групп населения, в том числе инвалидов.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За подробной информацией стоит обращаться в региональные отделения Центра «</w:t>
      </w:r>
      <w:hyperlink r:id="rId25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Мой бизнес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» либо узнать подробности через личный кабинет на цифровой платформе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МСП.рф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Гранты для туристического бизнеса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Ростуризм определил </w:t>
      </w:r>
      <w:hyperlink r:id="rId26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регионы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, которые получат гранты в 2023 году.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Деньги выделят тем, кто:</w:t>
      </w:r>
    </w:p>
    <w:p w:rsidR="00D25F72" w:rsidRPr="00D25F72" w:rsidRDefault="00D25F72" w:rsidP="00D25F72">
      <w:pPr>
        <w:numPr>
          <w:ilvl w:val="0"/>
          <w:numId w:val="5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планирует создавать и развивать пляжи на берегах морей, рек и озер, а также развивает национальные туристические маршруты;</w:t>
      </w:r>
    </w:p>
    <w:p w:rsidR="00D25F72" w:rsidRPr="00D25F72" w:rsidRDefault="00D25F72" w:rsidP="00D25F72">
      <w:pPr>
        <w:numPr>
          <w:ilvl w:val="0"/>
          <w:numId w:val="5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создает кемпинги и 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автокемпинги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>;</w:t>
      </w:r>
    </w:p>
    <w:p w:rsidR="00D25F72" w:rsidRPr="00D25F72" w:rsidRDefault="00D25F72" w:rsidP="00D25F72">
      <w:pPr>
        <w:numPr>
          <w:ilvl w:val="0"/>
          <w:numId w:val="5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приобретает туристическое оборудование, создает электронные путеводители, развивает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турсреду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для людей с ограниченными возможностями, приобретает оборудование для 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инфоцентров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и пунктов проката, разрабатывает новые маршруты, включая маркировку, навигацию, организацию зон отдыха и др.</w:t>
      </w:r>
    </w:p>
    <w:p w:rsidR="00D25F72" w:rsidRPr="00D25F72" w:rsidRDefault="00537BE9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hyperlink r:id="rId27" w:tgtFrame="_blank" w:history="1"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>Условия программы</w:t>
        </w:r>
      </w:hyperlink>
      <w:r w:rsidR="00D25F72"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. Суммы грантов составляют от 3 до 10 </w:t>
      </w:r>
      <w:proofErr w:type="spellStart"/>
      <w:proofErr w:type="gramStart"/>
      <w:r w:rsidR="00D25F72" w:rsidRPr="00D25F72">
        <w:rPr>
          <w:rFonts w:ascii="Arial" w:eastAsia="Times New Roman" w:hAnsi="Arial" w:cs="Arial"/>
          <w:color w:val="222222"/>
          <w:sz w:val="27"/>
          <w:szCs w:val="27"/>
        </w:rPr>
        <w:t>млн</w:t>
      </w:r>
      <w:proofErr w:type="spellEnd"/>
      <w:proofErr w:type="gramEnd"/>
      <w:r w:rsidR="00D25F72"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руб. в зависимости от типа проекта.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О </w:t>
      </w:r>
      <w:hyperlink r:id="rId28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мерах поддержки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 можно узнавать на официальном сайте Ростуризма.</w:t>
      </w:r>
    </w:p>
    <w:p w:rsidR="00D25F72" w:rsidRPr="00D25F72" w:rsidRDefault="00D25F72" w:rsidP="00D25F72">
      <w:pPr>
        <w:shd w:val="clear" w:color="auto" w:fill="FFFFFF"/>
        <w:spacing w:before="8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</w:rPr>
      </w:pPr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>Какие программы господдержки действуют в 2023 году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>В этом году государство планирует сделать более доступным российское ПО, усовершенствовать процесс получения заёмных средств, поддержать импорт, а также IT, турбизнес.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Поддержка импорта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Минэкономразвития еще в 2022 году выпустило Навигатор по мерам поддержки импорта в связи с 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санкционным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давлением (</w:t>
      </w:r>
      <w:hyperlink r:id="rId29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Письмо Минэкономразвития РФ от 22.09.2022 № 35970-ДВ/Д12И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), но некоторые меры продолжат действовать и в 2023 году. Речь идет об упрощении процедур таможенного оформления импортируемой продукции, о возмещении недополученных доходов по кредитам, выданным на приобретение приоритетной для импорта продукции и др.</w:t>
      </w:r>
    </w:p>
    <w:p w:rsidR="00D25F72" w:rsidRPr="00D25F72" w:rsidRDefault="00537BE9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hyperlink r:id="rId30" w:tgtFrame="_blank" w:history="1"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Полный список мер поддержки импорта</w:t>
        </w:r>
      </w:hyperlink>
      <w:r w:rsidR="00D25F72" w:rsidRPr="00D25F72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Поддержка IT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Поскольку в условиях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санкционных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ограничений растет интерес к отечественным разработкам и государство заинтересовано в удержании грамотных специалистов, то для IT-сферы подготовили комплексные меры. Они направлены как на сокращение финансового бремени компаний, так и на создание комфортных условий для работы.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Часть </w:t>
      </w:r>
      <w:hyperlink r:id="rId31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мер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 представлено на сайте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Минцифры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Кроме того, IT-компании могут рассчитывать </w:t>
      </w:r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на</w:t>
      </w:r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>:</w:t>
      </w:r>
    </w:p>
    <w:p w:rsidR="00D25F72" w:rsidRPr="00D25F72" w:rsidRDefault="00D25F72" w:rsidP="00D25F72">
      <w:pPr>
        <w:numPr>
          <w:ilvl w:val="0"/>
          <w:numId w:val="6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Налоговые льготы. До конца 2024 года ставка налога на прибыль будет нулевой (</w:t>
      </w:r>
      <w:hyperlink r:id="rId32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Указ Президента РФ от 02.03.2022 № 83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).</w:t>
      </w:r>
    </w:p>
    <w:p w:rsidR="00D25F72" w:rsidRPr="00D25F72" w:rsidRDefault="00D25F72" w:rsidP="00D25F72">
      <w:pPr>
        <w:numPr>
          <w:ilvl w:val="0"/>
          <w:numId w:val="6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Снижение ставки страховых взносов до уровня 7,6% (</w:t>
      </w:r>
      <w:hyperlink r:id="rId33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Федеральный закон от 14.07.2022 № 321-ФЗ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).</w:t>
      </w:r>
    </w:p>
    <w:p w:rsidR="00D25F72" w:rsidRPr="00D25F72" w:rsidRDefault="00D25F72" w:rsidP="00D25F72">
      <w:pPr>
        <w:numPr>
          <w:ilvl w:val="0"/>
          <w:numId w:val="6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До 3 марта 2025 года приостановлены внеплановые и плановые проверки для аккредитованных IT-компаний (</w:t>
      </w:r>
      <w:hyperlink r:id="rId34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Письмо ФНС РФ от 24.03.2022 № СД-4-2/3586@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).</w:t>
      </w:r>
    </w:p>
    <w:p w:rsidR="00D25F72" w:rsidRPr="00D25F72" w:rsidRDefault="00D25F72" w:rsidP="00D25F72">
      <w:pPr>
        <w:numPr>
          <w:ilvl w:val="0"/>
          <w:numId w:val="6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Освобождение аккредитованных IT-компаний на срок до трех лет от налогового, валютного контроля, других видов государственного контроля (надзора) и муниципального контроля.</w:t>
      </w:r>
    </w:p>
    <w:p w:rsidR="00D25F72" w:rsidRPr="00D25F72" w:rsidRDefault="00D25F72" w:rsidP="00D25F72">
      <w:pPr>
        <w:numPr>
          <w:ilvl w:val="0"/>
          <w:numId w:val="6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Упрощение процедуры трудоустройства иностранцев, привлекаемых для работы.</w:t>
      </w:r>
    </w:p>
    <w:p w:rsidR="00D25F72" w:rsidRPr="00D25F72" w:rsidRDefault="00D25F72" w:rsidP="00D25F72">
      <w:pPr>
        <w:numPr>
          <w:ilvl w:val="0"/>
          <w:numId w:val="6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>Предоставление возможности оформления льготной ипотеки сотрудникам IT-компаний.</w:t>
      </w:r>
    </w:p>
    <w:p w:rsidR="00D25F72" w:rsidRPr="00D25F72" w:rsidRDefault="00D25F72" w:rsidP="00D25F72">
      <w:pPr>
        <w:numPr>
          <w:ilvl w:val="0"/>
          <w:numId w:val="6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Отсрочка от службы в армии для специалистов IT-компаний (</w:t>
      </w:r>
      <w:hyperlink r:id="rId35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Постановление Правительства РФ от 28.03.2022 № 490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).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 xml:space="preserve">Компенсация расходов на покупку </w:t>
      </w:r>
      <w:proofErr w:type="gramStart"/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российского</w:t>
      </w:r>
      <w:proofErr w:type="gramEnd"/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 xml:space="preserve"> ПО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В рамках нового механизма поддержки малого и среднего бизнеса у предпринимателей появилась возможность приобрести </w:t>
      </w:r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российское</w:t>
      </w:r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ПО на 50 % дешевле. Но для этого нужно соответствовать требованиям по среднесписочной численности работников и доходам.</w:t>
      </w:r>
    </w:p>
    <w:p w:rsidR="00D25F72" w:rsidRPr="00D25F72" w:rsidRDefault="00537BE9" w:rsidP="00D2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537BE9">
        <w:rPr>
          <w:rFonts w:ascii="Arial" w:eastAsia="Times New Roman" w:hAnsi="Arial" w:cs="Arial"/>
          <w:color w:val="222222"/>
          <w:sz w:val="23"/>
          <w:szCs w:val="23"/>
        </w:rPr>
        <w:pict>
          <v:shape id="_x0000_i1026" type="#_x0000_t75" alt="" style="width:48pt;height:48pt"/>
        </w:pict>
      </w:r>
    </w:p>
    <w:p w:rsidR="00D25F72" w:rsidRPr="00D25F72" w:rsidRDefault="00537BE9" w:rsidP="00D25F7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hyperlink r:id="rId36" w:tgtFrame="_blank" w:history="1"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 xml:space="preserve">Требования к бизнесу, претендующему на компенсацию затрат </w:t>
        </w:r>
        <w:proofErr w:type="gramStart"/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>на</w:t>
        </w:r>
        <w:proofErr w:type="gramEnd"/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> ПО</w:t>
        </w:r>
      </w:hyperlink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В 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Минцифры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отметили, что на реализацию этой меры поддержки до конца 2024 года выделено 7 </w:t>
      </w:r>
      <w:proofErr w:type="spellStart"/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млрд</w:t>
      </w:r>
      <w:proofErr w:type="spellEnd"/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«Зонтичный» механизм для получения заёмного финансирования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«Зонтичный» механизм предоставления поручительств позволит бизнесу получать кредиты и снижать конечные процентные ставки по ним. Поручительство будет обеспечивать до 50% от суммы кредита, а предприниматель сможет получить его в «одном окне» банка.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Оплата комиссии за поручительство возложена не на предпринимателя, а на банк. Заёмщики со средним риском смогут увеличить объем привлеченных средств за счет поручительств и высвободить залоги, с низким риском — получить кредитные средства в среднем ниже на 1–2%.</w:t>
      </w:r>
    </w:p>
    <w:p w:rsidR="00D25F72" w:rsidRPr="00D25F72" w:rsidRDefault="00537BE9" w:rsidP="00D2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537BE9">
        <w:rPr>
          <w:rFonts w:ascii="Arial" w:eastAsia="Times New Roman" w:hAnsi="Arial" w:cs="Arial"/>
          <w:color w:val="222222"/>
          <w:sz w:val="23"/>
          <w:szCs w:val="23"/>
        </w:rPr>
        <w:pict>
          <v:shape id="_x0000_i1027" type="#_x0000_t75" alt="" style="width:48pt;height:48pt"/>
        </w:pict>
      </w:r>
    </w:p>
    <w:p w:rsidR="00D25F72" w:rsidRPr="00D25F72" w:rsidRDefault="00537BE9" w:rsidP="00D25F7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hyperlink r:id="rId37" w:tgtFrame="_blank" w:history="1"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>Финансовый инструмент для малого бизнеса: кредиты через «зонтичный» механизм</w:t>
        </w:r>
      </w:hyperlink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Субсидирование МСП при размещении бумаг на бирже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Программа будет действовать до 2024 года и, как и прежде, доступ к ней получат те бизнесы, сведения о которых содержатся в </w:t>
      </w:r>
      <w:hyperlink r:id="rId38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Едином реестре субъектов МСП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 (</w:t>
      </w:r>
      <w:hyperlink r:id="rId39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Постановление Правительства РФ от 30.12.2020 № 2374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). Она предполагает частичную компенсацию затрат на выпуск акций и облигаций (до 1,5 </w:t>
      </w:r>
      <w:proofErr w:type="spellStart"/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млн</w:t>
      </w:r>
      <w:proofErr w:type="spellEnd"/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руб.) и выплаты по купонам (до 70 %).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Отбор эмитентов для участия в программе субсидирования осуществляется два раза в год — до 1 июля и до 1 октября календарного года.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Субсидии на возмещение процентов по кредиту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Бизнес может рассчитывать на компенсацию затрат на уплату процентов по кредитам, полученным в кредитных организациях на поддержку и развитие деятельности, в том числе на обновление основных средств (за исключением кредитов, полученных для приобретения легковых транспортных средств).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Условия получения субсидии нужно уточнять в регионах.</w:t>
      </w:r>
    </w:p>
    <w:p w:rsidR="00D25F72" w:rsidRPr="00D25F72" w:rsidRDefault="00D25F72" w:rsidP="00D25F72">
      <w:pPr>
        <w:shd w:val="clear" w:color="auto" w:fill="FFFFFF"/>
        <w:spacing w:before="8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</w:rPr>
      </w:pPr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 xml:space="preserve">Поддержка малого </w:t>
      </w:r>
      <w:proofErr w:type="spellStart"/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>агробизнеса</w:t>
      </w:r>
      <w:proofErr w:type="spellEnd"/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 xml:space="preserve"> в 2023 году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Субсидии для животноводов. С 1 января 2023 года они могут рассчитывать на возмещение части затрат на выращивание крупного рогатого скота и последующее производство продукции (</w:t>
      </w:r>
      <w:hyperlink r:id="rId40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Постановление Правительства РФ от 01.12.2022 № 2201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).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 xml:space="preserve">Для некоторых категорий аграриев условия поддержки будут смягчены: для фермерских хозяйств, занимающихся развитием семейных ферм, а также для сельскохозяйственных кооперативов, использующих гранты на укрепление материально-технической базы. По условиям предоставления поддержки они должны брать одного работника на каждые 10 </w:t>
      </w:r>
      <w:proofErr w:type="spellStart"/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млн</w:t>
      </w:r>
      <w:proofErr w:type="spellEnd"/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b/>
          <w:bCs/>
          <w:color w:val="222222"/>
          <w:sz w:val="27"/>
        </w:rPr>
        <w:t>Грант «</w:t>
      </w:r>
      <w:proofErr w:type="spellStart"/>
      <w:r w:rsidRPr="00D25F72">
        <w:rPr>
          <w:rFonts w:ascii="Arial" w:eastAsia="Times New Roman" w:hAnsi="Arial" w:cs="Arial"/>
          <w:b/>
          <w:bCs/>
          <w:color w:val="222222"/>
          <w:sz w:val="27"/>
        </w:rPr>
        <w:t>Агротуризм</w:t>
      </w:r>
      <w:proofErr w:type="spellEnd"/>
      <w:r w:rsidRPr="00D25F72">
        <w:rPr>
          <w:rFonts w:ascii="Arial" w:eastAsia="Times New Roman" w:hAnsi="Arial" w:cs="Arial"/>
          <w:b/>
          <w:bCs/>
          <w:color w:val="222222"/>
          <w:sz w:val="27"/>
        </w:rPr>
        <w:t>». </w:t>
      </w:r>
      <w:hyperlink r:id="rId41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Постановление Правительства РФ от 16.12.2021 № 2309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 ввело грант на проекты, связанные с сельским туризмом. С 1 января 2022 года малый аграрный бизнес может претендовать на сумму до 10 </w:t>
      </w:r>
      <w:proofErr w:type="spellStart"/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млн</w:t>
      </w:r>
      <w:proofErr w:type="spellEnd"/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руб., если, например, занимается строительством или ремонтом помещений для приема туристов, создает развлекательную инфраструктуру, закупает туристическое оборудование и т.д.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b/>
          <w:bCs/>
          <w:color w:val="222222"/>
          <w:sz w:val="27"/>
        </w:rPr>
        <w:t>Грант «</w:t>
      </w:r>
      <w:proofErr w:type="spellStart"/>
      <w:r w:rsidRPr="00D25F72">
        <w:rPr>
          <w:rFonts w:ascii="Arial" w:eastAsia="Times New Roman" w:hAnsi="Arial" w:cs="Arial"/>
          <w:b/>
          <w:bCs/>
          <w:color w:val="222222"/>
          <w:sz w:val="27"/>
        </w:rPr>
        <w:t>Агропрогресс</w:t>
      </w:r>
      <w:proofErr w:type="spellEnd"/>
      <w:r w:rsidRPr="00D25F72">
        <w:rPr>
          <w:rFonts w:ascii="Arial" w:eastAsia="Times New Roman" w:hAnsi="Arial" w:cs="Arial"/>
          <w:b/>
          <w:bCs/>
          <w:color w:val="222222"/>
          <w:sz w:val="27"/>
        </w:rPr>
        <w:t>».</w:t>
      </w:r>
      <w:r w:rsidRPr="00D25F72">
        <w:rPr>
          <w:rFonts w:ascii="Arial" w:eastAsia="Times New Roman" w:hAnsi="Arial" w:cs="Arial"/>
          <w:color w:val="222222"/>
          <w:sz w:val="27"/>
          <w:szCs w:val="27"/>
        </w:rPr>
        <w:t> В 2021 году поддержка расширилась за счет нового гранта «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Агропрогресс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>» (</w:t>
      </w:r>
      <w:hyperlink r:id="rId42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Постановление Правительства РФ от 26.11.2020 № 1932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). На него могут претендовать сельскохозяйственные товаропроизводители, официально работающие не менее двух лет на сельской территории.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Сумма господдержки — не более 30 </w:t>
      </w:r>
      <w:proofErr w:type="spellStart"/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млн</w:t>
      </w:r>
      <w:proofErr w:type="spellEnd"/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b/>
          <w:bCs/>
          <w:color w:val="222222"/>
          <w:sz w:val="27"/>
        </w:rPr>
        <w:t>«</w:t>
      </w:r>
      <w:proofErr w:type="spellStart"/>
      <w:r w:rsidRPr="00D25F72">
        <w:rPr>
          <w:rFonts w:ascii="Arial" w:eastAsia="Times New Roman" w:hAnsi="Arial" w:cs="Arial"/>
          <w:b/>
          <w:bCs/>
          <w:color w:val="222222"/>
          <w:sz w:val="27"/>
        </w:rPr>
        <w:t>Агростартап</w:t>
      </w:r>
      <w:proofErr w:type="spellEnd"/>
      <w:r w:rsidRPr="00D25F72">
        <w:rPr>
          <w:rFonts w:ascii="Arial" w:eastAsia="Times New Roman" w:hAnsi="Arial" w:cs="Arial"/>
          <w:b/>
          <w:bCs/>
          <w:color w:val="222222"/>
          <w:sz w:val="27"/>
        </w:rPr>
        <w:t>».</w:t>
      </w: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 Начинающим аграриям (КФХ, ИП) подойдет грант на приобретение оборудования для переработки сельхозпродукции или на выращивание самой сельхозпродукции. Суммы: 3-5 </w:t>
      </w:r>
      <w:proofErr w:type="spellStart"/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млн</w:t>
      </w:r>
      <w:proofErr w:type="spellEnd"/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b/>
          <w:bCs/>
          <w:color w:val="222222"/>
          <w:sz w:val="27"/>
        </w:rPr>
        <w:t>Проект «Развитие овощеводства и картофелеводства».</w:t>
      </w: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 В 2023 году аграрии из Дальнего Востока и Калининградской области могут воспользоваться новым проектом «Развитие овощеводства и картофелеводства». Деньги можно потратить на проведение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агротехнологических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работ и производство картофеля и овощей в открытом грунте и теплицах с использованием технологии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досвечивания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Для сельхозпроизводителей установлен повышенный коэффициент при расчете и распределении федеральных субсидий: для регионов ДФО — 2, для Калининградской области — 1,2.</w:t>
      </w:r>
    </w:p>
    <w:p w:rsidR="00D25F72" w:rsidRPr="00D25F72" w:rsidRDefault="00D25F72" w:rsidP="00D25F72">
      <w:pPr>
        <w:shd w:val="clear" w:color="auto" w:fill="FFFFFF"/>
        <w:spacing w:before="8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</w:rPr>
      </w:pPr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lastRenderedPageBreak/>
        <w:t>Федеральные программы поддержки бизнеса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Такой вид поддержки бизнеса можно разделить на несколько программ от различных ведомств и организаций.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Минэкономразвития России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Его интересы распространяются на реализацию </w:t>
      </w:r>
      <w:hyperlink r:id="rId43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программы по предоставлению субсидий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 из федерального бюджета для оказания господдержки субъектам МСП.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Средства распределяются на конкурсной основе между регионами и выделяются на мероприятия, предусмотренные региональными программами, но при условии, что расходы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софинансируются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регионами.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Программа Минэкономразвития предполагает прямые и непрямые меры поддержки, на которые могут рассчитывать те, кто занимается производством товаров, разрабатывает и внедряет инновационную продукцию, специализируется на народно-художественных промыслах, осуществляет ремесленную деятельность, продвигает сельский и 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экотуризм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>, развивает социальное предпринимательство.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Гранты на инновационные производства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Российская компания, планирующая запуск или расширение инновационного производства, может претендовать на грант в размере до 30 </w:t>
      </w:r>
      <w:proofErr w:type="spellStart"/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млн</w:t>
      </w:r>
      <w:proofErr w:type="spellEnd"/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рублей. Минэкономразвития приступило к приему заявок от малого бизнеса.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К бизнесу есть требования:</w:t>
      </w:r>
    </w:p>
    <w:p w:rsidR="00D25F72" w:rsidRPr="00D25F72" w:rsidRDefault="00D25F72" w:rsidP="00D25F72">
      <w:pPr>
        <w:numPr>
          <w:ilvl w:val="0"/>
          <w:numId w:val="7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Компания должна быть включена в Единый реестр СМП как микро- или малое предприятие.</w:t>
      </w:r>
    </w:p>
    <w:p w:rsidR="00D25F72" w:rsidRPr="00D25F72" w:rsidRDefault="00D25F72" w:rsidP="00D25F72">
      <w:pPr>
        <w:numPr>
          <w:ilvl w:val="0"/>
          <w:numId w:val="7"/>
        </w:numPr>
        <w:shd w:val="clear" w:color="auto" w:fill="FFFFFF"/>
        <w:spacing w:before="100" w:beforeAutospacing="1" w:after="133" w:line="240" w:lineRule="auto"/>
        <w:ind w:left="333" w:hanging="312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Руководитель компании не должен иметь открытых договоров с Фондом содействия инновациям.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 xml:space="preserve">Грант можно получить только при условии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софинансирования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затрат за счет собственных или привлеченных сре</w:t>
      </w:r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дств в р</w:t>
      </w:r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>азмере не менее 50% суммы гранта.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Корпорации МСП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Эта организация занимается </w:t>
      </w:r>
      <w:hyperlink r:id="rId44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решением различного спектра задач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, в числе которых оказывает финансовую, имущественную, юридическую, инфраструктурную, методологическую поддержку; организовывает различные виды сопровождения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инвестпроектов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и др. </w:t>
      </w:r>
    </w:p>
    <w:p w:rsidR="00D25F72" w:rsidRPr="00D25F72" w:rsidRDefault="00537BE9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hyperlink r:id="rId45" w:tgtFrame="_blank" w:history="1"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>На сайте корпорации</w:t>
        </w:r>
      </w:hyperlink>
      <w:r w:rsidR="00D25F72" w:rsidRPr="00D25F72">
        <w:rPr>
          <w:rFonts w:ascii="Arial" w:eastAsia="Times New Roman" w:hAnsi="Arial" w:cs="Arial"/>
          <w:color w:val="222222"/>
          <w:sz w:val="27"/>
          <w:szCs w:val="27"/>
        </w:rPr>
        <w:t> можно узнать обо всех льготах, субсидиях и грантах, которые положены вашей компании.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АО «МСП Банк»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Занимается </w:t>
      </w:r>
      <w:hyperlink r:id="rId46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госпрограммой финансовой поддержки предпринимательства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, предоставляя МСП прямые гарантии для получения банковских кредитов и помогая воспользоваться кредитными ресурсами при недостаточности залогового обеспечения.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Организация выступает в роли гаранта исполнения субъектами МСП своих кредитных обязательств, разделяя с банками риски, которые могут возникать в результате ухудшения финансового состояния заемщика. Гарантийные продукты доступны субъектам МСП, желающим получить кредиты в банках-партнерах МСП Банка.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Фонд содействия инновациям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Эта организация </w:t>
      </w:r>
      <w:hyperlink r:id="rId47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отвечает за развитие и поддержку малых предприятий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 в научно-технической сфере и непосредственно оказывает финансовую помощь целевым проектам. Особенно известна программа «Умник», ориентированная на поддержку талантливых молодых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инноваторов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>. Но также есть программа для 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стартапов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«Старт», разные предложения по поддержке предприятий «Развитие», «Интернационализация», «Коммерциализация».</w:t>
      </w:r>
    </w:p>
    <w:p w:rsidR="00D25F72" w:rsidRPr="00D25F72" w:rsidRDefault="00D25F72" w:rsidP="00D25F72">
      <w:pPr>
        <w:shd w:val="clear" w:color="auto" w:fill="FFFFFF"/>
        <w:spacing w:before="720" w:after="360" w:line="240" w:lineRule="auto"/>
        <w:outlineLvl w:val="2"/>
        <w:rPr>
          <w:rFonts w:ascii="Arial" w:eastAsia="Times New Roman" w:hAnsi="Arial" w:cs="Arial"/>
          <w:b/>
          <w:bCs/>
          <w:color w:val="222222"/>
          <w:sz w:val="48"/>
          <w:szCs w:val="48"/>
        </w:rPr>
      </w:pPr>
      <w:r w:rsidRPr="00D25F72">
        <w:rPr>
          <w:rFonts w:ascii="Arial" w:eastAsia="Times New Roman" w:hAnsi="Arial" w:cs="Arial"/>
          <w:b/>
          <w:bCs/>
          <w:color w:val="222222"/>
          <w:sz w:val="48"/>
          <w:szCs w:val="48"/>
        </w:rPr>
        <w:t>Минсельхоз России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>Для агропромышленного комплекса предусмотрены </w:t>
      </w:r>
      <w:hyperlink r:id="rId48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различные меры господдержки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 в 2023 году. Товаропроизводители,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5%.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Также предусмотрены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:rsidR="00D25F72" w:rsidRPr="00D25F72" w:rsidRDefault="00D25F72" w:rsidP="00D25F72">
      <w:pPr>
        <w:shd w:val="clear" w:color="auto" w:fill="FFFFFF"/>
        <w:spacing w:before="8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</w:rPr>
      </w:pPr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>Региональные программы поддержки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Детали и условия программ поддержки, на основании которых можно претендовать на помощь государства в развитии бизнеса, можно узнать на региональных порталах малого и среднего предпринимательства. В поисковиках можно вбивать запрос таким образом: «региональный портал малого и среднего предпринимательства &lt;город&gt;».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>Например, вводим запрос «региональный портал малого и среднего предпринимательства Саратов» и выходим на </w:t>
      </w:r>
      <w:hyperlink r:id="rId49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сайт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, который дает подробную информацию и по видам, и по формам, и по инфраструктуре поддержки.</w:t>
      </w:r>
    </w:p>
    <w:p w:rsidR="00D25F72" w:rsidRPr="00D25F72" w:rsidRDefault="00D25F72" w:rsidP="00D2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:rsidR="00D25F72" w:rsidRPr="00D25F72" w:rsidRDefault="00537BE9" w:rsidP="00D25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hyperlink r:id="rId50" w:tgtFrame="_blank" w:history="1">
        <w:r w:rsidR="00D25F72" w:rsidRPr="00D25F72">
          <w:rPr>
            <w:rFonts w:ascii="Arial" w:eastAsia="Times New Roman" w:hAnsi="Arial" w:cs="Arial"/>
            <w:i/>
            <w:iCs/>
            <w:color w:val="0000FF"/>
            <w:sz w:val="27"/>
          </w:rPr>
          <w:t>Центры инфраструктуры МСП в регионах</w:t>
        </w:r>
      </w:hyperlink>
      <w:r w:rsidR="00D25F72" w:rsidRPr="00D25F72">
        <w:rPr>
          <w:rFonts w:ascii="Arial" w:eastAsia="Times New Roman" w:hAnsi="Arial" w:cs="Arial"/>
          <w:i/>
          <w:iCs/>
          <w:color w:val="222222"/>
          <w:sz w:val="27"/>
        </w:rPr>
        <w:t> на сайте «Мой бизнес»</w:t>
      </w:r>
    </w:p>
    <w:p w:rsidR="00D25F72" w:rsidRPr="00D25F72" w:rsidRDefault="00D25F72" w:rsidP="00D25F72">
      <w:pPr>
        <w:shd w:val="clear" w:color="auto" w:fill="FFFFFF"/>
        <w:spacing w:before="8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</w:rPr>
      </w:pPr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 xml:space="preserve">Поддержка </w:t>
      </w:r>
      <w:proofErr w:type="spellStart"/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>самозанятых</w:t>
      </w:r>
      <w:proofErr w:type="spellEnd"/>
      <w:r w:rsidRPr="00D25F72">
        <w:rPr>
          <w:rFonts w:ascii="Arial" w:eastAsia="Times New Roman" w:hAnsi="Arial" w:cs="Arial"/>
          <w:b/>
          <w:bCs/>
          <w:color w:val="222222"/>
          <w:sz w:val="60"/>
          <w:szCs w:val="60"/>
        </w:rPr>
        <w:t xml:space="preserve"> в 2023 году</w:t>
      </w:r>
    </w:p>
    <w:p w:rsidR="00D25F72" w:rsidRPr="00D25F72" w:rsidRDefault="00537BE9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hyperlink r:id="rId51" w:tgtFrame="_blank" w:history="1"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Постановление Правительства РФ от 29.09.2020 № 1563</w:t>
        </w:r>
      </w:hyperlink>
      <w:r w:rsidR="00D25F72" w:rsidRPr="00D25F72">
        <w:rPr>
          <w:rFonts w:ascii="Arial" w:eastAsia="Times New Roman" w:hAnsi="Arial" w:cs="Arial"/>
          <w:color w:val="222222"/>
          <w:sz w:val="27"/>
          <w:szCs w:val="27"/>
        </w:rPr>
        <w:t> распространило на </w:t>
      </w:r>
      <w:proofErr w:type="spellStart"/>
      <w:r w:rsidR="00D25F72" w:rsidRPr="00D25F72">
        <w:rPr>
          <w:rFonts w:ascii="Arial" w:eastAsia="Times New Roman" w:hAnsi="Arial" w:cs="Arial"/>
          <w:color w:val="222222"/>
          <w:sz w:val="27"/>
          <w:szCs w:val="27"/>
        </w:rPr>
        <w:t>самозанятых</w:t>
      </w:r>
      <w:proofErr w:type="spellEnd"/>
      <w:r w:rsidR="00D25F72"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меры поддержки, которые ранее были предусмотрены для МСП.</w:t>
      </w:r>
    </w:p>
    <w:p w:rsidR="00D25F72" w:rsidRPr="00D25F72" w:rsidRDefault="00D25F72" w:rsidP="00D25F7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lastRenderedPageBreak/>
        <w:t>Теперь они смогут воспользоваться </w:t>
      </w:r>
      <w:hyperlink r:id="rId52" w:tgtFrame="_blank" w:history="1">
        <w:r w:rsidRPr="00D25F72">
          <w:rPr>
            <w:rFonts w:ascii="Arial" w:eastAsia="Times New Roman" w:hAnsi="Arial" w:cs="Arial"/>
            <w:color w:val="0000FF"/>
            <w:sz w:val="27"/>
            <w:u w:val="single"/>
          </w:rPr>
          <w:t>полным набором услуг, сервисов и финансовых инструментов</w:t>
        </w:r>
      </w:hyperlink>
      <w:r w:rsidRPr="00D25F72">
        <w:rPr>
          <w:rFonts w:ascii="Arial" w:eastAsia="Times New Roman" w:hAnsi="Arial" w:cs="Arial"/>
          <w:color w:val="222222"/>
          <w:sz w:val="27"/>
          <w:szCs w:val="27"/>
        </w:rPr>
        <w:t> в центрах «Мой бизнес».</w:t>
      </w:r>
    </w:p>
    <w:p w:rsidR="00D25F72" w:rsidRPr="00D25F72" w:rsidRDefault="00D25F72" w:rsidP="00D2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</w:p>
    <w:p w:rsidR="00D25F72" w:rsidRPr="00D25F72" w:rsidRDefault="00537BE9" w:rsidP="00D25F7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hyperlink r:id="rId53" w:tgtFrame="_blank" w:history="1"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 xml:space="preserve">На что рассчитывать </w:t>
        </w:r>
        <w:proofErr w:type="spellStart"/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>самозанятым</w:t>
        </w:r>
        <w:proofErr w:type="spellEnd"/>
        <w:r w:rsidR="00D25F72" w:rsidRPr="00D25F72">
          <w:rPr>
            <w:rFonts w:ascii="Arial" w:eastAsia="Times New Roman" w:hAnsi="Arial" w:cs="Arial"/>
            <w:color w:val="0000FF"/>
            <w:sz w:val="27"/>
            <w:u w:val="single"/>
          </w:rPr>
          <w:t xml:space="preserve"> в 2023 году</w:t>
        </w:r>
      </w:hyperlink>
    </w:p>
    <w:p w:rsidR="00D25F72" w:rsidRPr="00D25F72" w:rsidRDefault="00D25F72" w:rsidP="00D2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Также они вправе претендовать на аренду 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коворкингов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и </w:t>
      </w:r>
      <w:proofErr w:type="spell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бизнес-инкубаторов</w:t>
      </w:r>
      <w:proofErr w:type="spell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по льготным ставкам, займы в размере до 1 </w:t>
      </w:r>
      <w:proofErr w:type="spellStart"/>
      <w:proofErr w:type="gramStart"/>
      <w:r w:rsidRPr="00D25F72">
        <w:rPr>
          <w:rFonts w:ascii="Arial" w:eastAsia="Times New Roman" w:hAnsi="Arial" w:cs="Arial"/>
          <w:color w:val="222222"/>
          <w:sz w:val="27"/>
          <w:szCs w:val="27"/>
        </w:rPr>
        <w:t>млн</w:t>
      </w:r>
      <w:proofErr w:type="spellEnd"/>
      <w:proofErr w:type="gramEnd"/>
      <w:r w:rsidRPr="00D25F72">
        <w:rPr>
          <w:rFonts w:ascii="Arial" w:eastAsia="Times New Roman" w:hAnsi="Arial" w:cs="Arial"/>
          <w:color w:val="222222"/>
          <w:sz w:val="27"/>
          <w:szCs w:val="27"/>
        </w:rPr>
        <w:t xml:space="preserve"> руб. от государственных МФО.</w:t>
      </w:r>
    </w:p>
    <w:p w:rsidR="00D25F72" w:rsidRPr="00D25F72" w:rsidRDefault="00537BE9" w:rsidP="00D25F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hyperlink r:id="rId54" w:history="1">
        <w:r w:rsidRPr="00537BE9">
          <w:rPr>
            <w:rFonts w:ascii="Arial" w:eastAsia="Times New Roman" w:hAnsi="Arial" w:cs="Arial"/>
            <w:color w:val="015CCB"/>
            <w:sz w:val="23"/>
            <w:szCs w:val="23"/>
          </w:rPr>
          <w:pict>
            <v:shape id="_x0000_i1028" type="#_x0000_t75" alt="" href="https://kontur.ru/business-start?utm_ad=13151800961&amp;utm_medium=cpc&amp;utm_source=YandexDirect&amp;utm_campaign=kontur-ofd-rsya&amp;utm_content=kod-aktivatsii%7ctid%7c42339224837_42339224837%7csrc%7ccontext%7cdev%7cdesktop%7crgn%7c%d0%a1%d0%b0%d1%80%d0%b0%d1%82%d0%be%d0%b2%d1%81%d0%ba%d0%b0%d1%8f+%d0%be%d0%b1%d0%bb%d0%b0%d1%81%d1%82%d1%8c%7cmtp%7c%7cref%7cwin.mail.ru&amp;utm_term=%d0%ba%d0%be%d0%b4+%d0%b0%d0%ba%d1%82%d0%b8%d0%b2%d0%b0%d1%86%d0%b8%d0%b8+%d0%be%d1%84%d0%b4&amp;yclid=230877963346836921&amp;utm_from=adv-block-articles-ekosistema-25703-3976" style="width:48pt;height:48pt" o:button="t"/>
          </w:pict>
        </w:r>
      </w:hyperlink>
    </w:p>
    <w:sectPr w:rsidR="00D25F72" w:rsidRPr="00D25F72" w:rsidSect="0053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DD5"/>
    <w:multiLevelType w:val="multilevel"/>
    <w:tmpl w:val="1A5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639A5"/>
    <w:multiLevelType w:val="multilevel"/>
    <w:tmpl w:val="5E9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56089"/>
    <w:multiLevelType w:val="multilevel"/>
    <w:tmpl w:val="81CA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C0DB7"/>
    <w:multiLevelType w:val="multilevel"/>
    <w:tmpl w:val="B764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A0918"/>
    <w:multiLevelType w:val="multilevel"/>
    <w:tmpl w:val="4322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358D6"/>
    <w:multiLevelType w:val="multilevel"/>
    <w:tmpl w:val="8306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7576A"/>
    <w:multiLevelType w:val="multilevel"/>
    <w:tmpl w:val="7232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F72"/>
    <w:rsid w:val="00537BE9"/>
    <w:rsid w:val="00A626CC"/>
    <w:rsid w:val="00D2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9"/>
  </w:style>
  <w:style w:type="paragraph" w:styleId="1">
    <w:name w:val="heading 1"/>
    <w:basedOn w:val="a"/>
    <w:link w:val="10"/>
    <w:uiPriority w:val="9"/>
    <w:qFormat/>
    <w:rsid w:val="00D25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5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25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F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5F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25F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cation-comments-linkcomments-count">
    <w:name w:val="publication-comments-link__comments-count"/>
    <w:basedOn w:val="a0"/>
    <w:rsid w:val="00D25F72"/>
  </w:style>
  <w:style w:type="character" w:styleId="a4">
    <w:name w:val="Hyperlink"/>
    <w:basedOn w:val="a0"/>
    <w:uiPriority w:val="99"/>
    <w:semiHidden/>
    <w:unhideWhenUsed/>
    <w:rsid w:val="00D25F72"/>
    <w:rPr>
      <w:color w:val="0000FF"/>
      <w:u w:val="single"/>
    </w:rPr>
  </w:style>
  <w:style w:type="paragraph" w:customStyle="1" w:styleId="lead">
    <w:name w:val="lead"/>
    <w:basedOn w:val="a"/>
    <w:rsid w:val="00D2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blocklink-wrap">
    <w:name w:val="text-block__link-wrap"/>
    <w:basedOn w:val="a"/>
    <w:rsid w:val="00D2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5F72"/>
    <w:rPr>
      <w:b/>
      <w:bCs/>
    </w:rPr>
  </w:style>
  <w:style w:type="character" w:styleId="a6">
    <w:name w:val="Emphasis"/>
    <w:basedOn w:val="a0"/>
    <w:uiPriority w:val="20"/>
    <w:qFormat/>
    <w:rsid w:val="00D25F72"/>
    <w:rPr>
      <w:i/>
      <w:iCs/>
    </w:rPr>
  </w:style>
  <w:style w:type="character" w:customStyle="1" w:styleId="sa5-authorname">
    <w:name w:val="sa5-author__name"/>
    <w:basedOn w:val="a0"/>
    <w:rsid w:val="00D25F72"/>
  </w:style>
  <w:style w:type="character" w:customStyle="1" w:styleId="sa5-authorpost">
    <w:name w:val="sa5-author__post"/>
    <w:basedOn w:val="a0"/>
    <w:rsid w:val="00D25F72"/>
  </w:style>
  <w:style w:type="paragraph" w:styleId="a7">
    <w:name w:val="Balloon Text"/>
    <w:basedOn w:val="a"/>
    <w:link w:val="a8"/>
    <w:uiPriority w:val="99"/>
    <w:semiHidden/>
    <w:unhideWhenUsed/>
    <w:rsid w:val="00D2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31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52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524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284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14437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144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6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74307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453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329599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005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392461">
                      <w:marLeft w:val="1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493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61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r.ru/press/event/?id=14474" TargetMode="External"/><Relationship Id="rId18" Type="http://schemas.openxmlformats.org/officeDocument/2006/relationships/hyperlink" Target="http://static.government.ru/media/files/DCNirExCUwbd5vJcExGSVkbB99h943NW.pdf" TargetMode="External"/><Relationship Id="rId26" Type="http://schemas.openxmlformats.org/officeDocument/2006/relationships/hyperlink" Target="https://tourism.gov.ru/about/press-center/news/rosturizm-otobral-48-regionov-na-grantovuyu-podderzhku-proektov-v-turizme-v-2023-godu/" TargetMode="External"/><Relationship Id="rId39" Type="http://schemas.openxmlformats.org/officeDocument/2006/relationships/hyperlink" Target="https://normativ.kontur.ru/document?moduleId=1&amp;documentId=380235&amp;p=1210&amp;utm_content=kod-aktivatsii%7Ctid%7C42339224837_42339224837%7Csrc%7Ccontext%7Cdev%7Cdesktop%7Crgn%7C%D0%A1%D0%B0%D1%80%D0%B0%D1%82%D0%BE%D0%B2%D1%81%D0%BA%D0%B0%D1%8F+%D0%BE%D0%B1%D0%BB%D0%B0%D1%81%D1%82%D1%8C%7Cmtp%7C%7Cref%7Cwin.mail.ru&amp;utm_source=YandexDirect&amp;utm_medium=cpc&amp;utm_campaign=kontur-ofd-rsya&amp;utm_startpage=kontur.ru%2Farticles%2F4710&amp;utm_orderpage=kontur.ru%2Farticles%2F4710&amp;utm_ad=13151800961&amp;utm_term=%D0%BA%D0%BE%D0%B4+%D0%B0%D0%BA%D1%82%D0%B8%D0%B2%D0%B0%D1%86%D0%B8%D0%B8+%D0%BE%D1%84%D0%B4&amp;yclid=230877963346836921&amp;utm_referer=yandex.ru" TargetMode="External"/><Relationship Id="rId21" Type="http://schemas.openxmlformats.org/officeDocument/2006/relationships/hyperlink" Target="http://www.mspmo.ru/" TargetMode="External"/><Relationship Id="rId34" Type="http://schemas.openxmlformats.org/officeDocument/2006/relationships/hyperlink" Target="https://normativ.kontur.ru/document?moduleId=8&amp;documentId=418152&amp;p=1210&amp;utm_ad=13151800961&amp;utm_medium=cpc&amp;utm_source=YandexDirect&amp;utm_campaign=kontur-ofd-rsya&amp;utm_content=kod-aktivatsii%7Ctid%7C42339224837_42339224837%7Csrc%7Ccontext%7Cdev%7Cdesktop%7Crgn%7C%D0%A1%D0%B0%D1%80%D0%B0%D1%82%D0%BE%D0%B2%D1%81%D0%BA%D0%B0%D1%8F+%D0%BE%D0%B1%D0%BB%D0%B0%D1%81%D1%82%D1%8C%7Cmtp%7C%7Cref%7Cwin.mail.ru&amp;utm_term=%D0%BA%D0%BE%D0%B4+%D0%B0%D0%BA%D1%82%D0%B8%D0%B2%D0%B0%D1%86%D0%B8%D0%B8+%D0%BE%D1%84%D0%B4&amp;yclid=230877963346836921&amp;utm_referer=yandex.ru&amp;utm_startpage=kontur.ru%2Farticles%2F4710&amp;utm_orderpage=kontur.ru%2Farticles%2F4710" TargetMode="External"/><Relationship Id="rId42" Type="http://schemas.openxmlformats.org/officeDocument/2006/relationships/hyperlink" Target="https://normativ.kontur.ru/document?moduleId=1100&amp;documentId=14893&amp;p=1210&amp;utm_content=kod-aktivatsii%7Ctid%7C42339224837_42339224837%7Csrc%7Ccontext%7Cdev%7Cdesktop%7Crgn%7C%D0%A1%D0%B0%D1%80%D0%B0%D1%82%D0%BE%D0%B2%D1%81%D0%BA%D0%B0%D1%8F+%D0%BE%D0%B1%D0%BB%D0%B0%D1%81%D1%82%D1%8C%7Cmtp%7C%7Cref%7Cwin.mail.ru&amp;utm_source=YandexDirect&amp;utm_medium=cpc&amp;utm_campaign=kontur-ofd-rsya&amp;utm_startpage=kontur.ru%2Farticles%2F4710&amp;utm_orderpage=kontur.ru%2Farticles%2F4710&amp;utm_ad=13151800961&amp;utm_term=%D0%BA%D0%BE%D0%B4+%D0%B0%D0%BA%D1%82%D0%B8%D0%B2%D0%B0%D1%86%D0%B8%D0%B8+%D0%BE%D1%84%D0%B4&amp;yclid=230877963346836921&amp;utm_referer=yandex.ru" TargetMode="External"/><Relationship Id="rId47" Type="http://schemas.openxmlformats.org/officeDocument/2006/relationships/hyperlink" Target="http://www.fasie.ru/programs" TargetMode="External"/><Relationship Id="rId50" Type="http://schemas.openxmlformats.org/officeDocument/2006/relationships/hyperlink" Target="https://xn--90aifddrld7a.xn--p1ai/center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kontur.ru/articles/4710" TargetMode="External"/><Relationship Id="rId12" Type="http://schemas.openxmlformats.org/officeDocument/2006/relationships/hyperlink" Target="https://kontur.ru/articles/4710" TargetMode="External"/><Relationship Id="rId17" Type="http://schemas.openxmlformats.org/officeDocument/2006/relationships/hyperlink" Target="https://normativ.kontur.ru/document?moduleId=1&amp;documentId=410886&amp;p=1210&amp;utm_content=kod-aktivatsii%7Ctid%7C42339224837_42339224837%7Csrc%7Ccontext%7Cdev%7Cdesktop%7Crgn%7C%D0%A1%D0%B0%D1%80%D0%B0%D1%82%D0%BE%D0%B2%D1%81%D0%BA%D0%B0%D1%8F+%D0%BE%D0%B1%D0%BB%D0%B0%D1%81%D1%82%D1%8C%7Cmtp%7C%7Cref%7Cwin.mail.ru&amp;utm_source=YandexDirect&amp;utm_medium=cpc&amp;utm_campaign=kontur-ofd-rsya&amp;utm_startpage=kontur.ru%2Farticles%2F4710&amp;utm_orderpage=kontur.ru%2Farticles%2F4710&amp;utm_ad=13151800961&amp;utm_term=%D0%BA%D0%BE%D0%B4+%D0%B0%D0%BA%D1%82%D0%B8%D0%B2%D0%B0%D1%86%D0%B8%D0%B8+%D0%BE%D1%84%D0%B4&amp;yclid=230877963346836921&amp;utm_referer=yandex.ru" TargetMode="External"/><Relationship Id="rId25" Type="http://schemas.openxmlformats.org/officeDocument/2006/relationships/hyperlink" Target="https://xn--90aifddrld7a.xn--p1ai/knowledge/sayty-i-sotsseti-tsentrov-moy-biznes" TargetMode="External"/><Relationship Id="rId33" Type="http://schemas.openxmlformats.org/officeDocument/2006/relationships/hyperlink" Target="https://normativ.kontur.ru/document?moduleId=1&amp;documentId=427432&amp;p=1210&amp;utm_ad=13151800961&amp;utm_medium=cpc&amp;utm_source=YandexDirect&amp;utm_campaign=kontur-ofd-rsya&amp;utm_content=kod-aktivatsii%7Ctid%7C42339224837_42339224837%7Csrc%7Ccontext%7Cdev%7Cdesktop%7Crgn%7C%D0%A1%D0%B0%D1%80%D0%B0%D1%82%D0%BE%D0%B2%D1%81%D0%BA%D0%B0%D1%8F+%D0%BE%D0%B1%D0%BB%D0%B0%D1%81%D1%82%D1%8C%7Cmtp%7C%7Cref%7Cwin.mail.ru&amp;utm_term=%D0%BA%D0%BE%D0%B4+%D0%B0%D0%BA%D1%82%D0%B8%D0%B2%D0%B0%D1%86%D0%B8%D0%B8+%D0%BE%D1%84%D0%B4&amp;yclid=230877963346836921&amp;utm_referer=yandex.ru&amp;utm_startpage=kontur.ru%2Farticles%2F4710&amp;utm_orderpage=kontur.ru%2Farticles%2F4710" TargetMode="External"/><Relationship Id="rId38" Type="http://schemas.openxmlformats.org/officeDocument/2006/relationships/hyperlink" Target="https://kontur.ru/articles/4480" TargetMode="External"/><Relationship Id="rId46" Type="http://schemas.openxmlformats.org/officeDocument/2006/relationships/hyperlink" Target="https://mspbank.ru/who-can-receive-help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l1agf.xn--p1ai/" TargetMode="External"/><Relationship Id="rId20" Type="http://schemas.openxmlformats.org/officeDocument/2006/relationships/hyperlink" Target="https://mert.tatarstan.ru/gosudarstvennaya-podderzhka.htm" TargetMode="External"/><Relationship Id="rId29" Type="http://schemas.openxmlformats.org/officeDocument/2006/relationships/hyperlink" Target="https://normativ.kontur.ru/document?moduleId=8&amp;documentId=432991&amp;p=1210&amp;utm_ad=13151800961&amp;utm_medium=cpc&amp;utm_source=YandexDirect&amp;utm_campaign=kontur-ofd-rsya&amp;utm_content=kod-aktivatsii%7Ctid%7C42339224837_42339224837%7Csrc%7Ccontext%7Cdev%7Cdesktop%7Crgn%7C%D0%A1%D0%B0%D1%80%D0%B0%D1%82%D0%BE%D0%B2%D1%81%D0%BA%D0%B0%D1%8F+%D0%BE%D0%B1%D0%BB%D0%B0%D1%81%D1%82%D1%8C%7Cmtp%7C%7Cref%7Cwin.mail.ru&amp;utm_term=%D0%BA%D0%BE%D0%B4+%D0%B0%D0%BA%D1%82%D0%B8%D0%B2%D0%B0%D1%86%D0%B8%D0%B8+%D0%BE%D1%84%D0%B4&amp;yclid=230877963346836921&amp;utm_referer=yandex.ru&amp;utm_startpage=kontur.ru%2Farticles%2F4710&amp;utm_orderpage=kontur.ru%2Farticles%2F4710" TargetMode="External"/><Relationship Id="rId41" Type="http://schemas.openxmlformats.org/officeDocument/2006/relationships/hyperlink" Target="https://normativ.kontur.ru/document?moduleId=1100&amp;documentId=26531&amp;p=1210&amp;utm_content=kod-aktivatsii%7Ctid%7C42339224837_42339224837%7Csrc%7Ccontext%7Cdev%7Cdesktop%7Crgn%7C%D0%A1%D0%B0%D1%80%D0%B0%D1%82%D0%BE%D0%B2%D1%81%D0%BA%D0%B0%D1%8F+%D0%BE%D0%B1%D0%BB%D0%B0%D1%81%D1%82%D1%8C%7Cmtp%7C%7Cref%7Cwin.mail.ru&amp;utm_source=YandexDirect&amp;utm_medium=cpc&amp;utm_campaign=kontur-ofd-rsya&amp;utm_startpage=kontur.ru%2Farticles%2F4710&amp;utm_orderpage=kontur.ru%2Farticles%2F4710&amp;utm_ad=13151800961&amp;utm_term=%D0%BA%D0%BE%D0%B4+%D0%B0%D0%BA%D1%82%D0%B8%D0%B2%D0%B0%D1%86%D0%B8%D0%B8+%D0%BE%D1%84%D0%B4&amp;yclid=230877963346836921&amp;utm_referer=yandex.ru" TargetMode="External"/><Relationship Id="rId54" Type="http://schemas.openxmlformats.org/officeDocument/2006/relationships/hyperlink" Target="https://kontur.ru/business-start?utm_ad=13151800961&amp;utm_medium=cpc&amp;utm_source=YandexDirect&amp;utm_campaign=kontur-ofd-rsya&amp;utm_content=kod-aktivatsii%7ctid%7c42339224837_42339224837%7csrc%7ccontext%7cdev%7cdesktop%7crgn%7c%d0%a1%d0%b0%d1%80%d0%b0%d1%82%d0%be%d0%b2%d1%81%d0%ba%d0%b0%d1%8f+%d0%be%d0%b1%d0%bb%d0%b0%d1%81%d1%82%d1%8c%7cmtp%7c%7cref%7cwin.mail.ru&amp;utm_term=%d0%ba%d0%be%d0%b4+%d0%b0%d0%ba%d1%82%d0%b8%d0%b2%d0%b0%d1%86%d0%b8%d0%b8+%d0%be%d1%84%d0%b4&amp;yclid=230877963346836921&amp;utm_from=adv-block-articles-ekosistema-25703-3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710" TargetMode="External"/><Relationship Id="rId11" Type="http://schemas.openxmlformats.org/officeDocument/2006/relationships/hyperlink" Target="https://kontur.ru/articles/4710" TargetMode="External"/><Relationship Id="rId24" Type="http://schemas.openxmlformats.org/officeDocument/2006/relationships/hyperlink" Target="https://kontur.ru/articles/2443" TargetMode="External"/><Relationship Id="rId32" Type="http://schemas.openxmlformats.org/officeDocument/2006/relationships/hyperlink" Target="https://normativ.kontur.ru/document?moduleId=1&amp;documentId=416039&amp;cwi=350&amp;p=1210&amp;utm_ad=13151800961&amp;utm_medium=cpc&amp;utm_source=YandexDirect&amp;utm_campaign=kontur-ofd-rsya&amp;utm_content=kod-aktivatsii%7Ctid%7C42339224837_42339224837%7Csrc%7Ccontext%7Cdev%7Cdesktop%7Crgn%7C%D0%A1%D0%B0%D1%80%D0%B0%D1%82%D0%BE%D0%B2%D1%81%D0%BA%D0%B0%D1%8F+%D0%BE%D0%B1%D0%BB%D0%B0%D1%81%D1%82%D1%8C%7Cmtp%7C%7Cref%7Cwin.mail.ru&amp;utm_term=%D0%BA%D0%BE%D0%B4+%D0%B0%D0%BA%D1%82%D0%B8%D0%B2%D0%B0%D1%86%D0%B8%D0%B8+%D0%BE%D1%84%D0%B4&amp;yclid=230877963346836921&amp;utm_referer=yandex.ru&amp;utm_startpage=kontur.ru%2Farticles%2F4710&amp;utm_orderpage=kontur.ru%2Farticles%2F4710" TargetMode="External"/><Relationship Id="rId37" Type="http://schemas.openxmlformats.org/officeDocument/2006/relationships/hyperlink" Target="https://kontur.ru/articles/701" TargetMode="External"/><Relationship Id="rId40" Type="http://schemas.openxmlformats.org/officeDocument/2006/relationships/hyperlink" Target="http://publication.pravo.gov.ru/Document/View/0001202212030004" TargetMode="External"/><Relationship Id="rId45" Type="http://schemas.openxmlformats.org/officeDocument/2006/relationships/hyperlink" Target="https://smbn.ru/service/support" TargetMode="External"/><Relationship Id="rId53" Type="http://schemas.openxmlformats.org/officeDocument/2006/relationships/hyperlink" Target="https://kontur.ru/articles/4818" TargetMode="External"/><Relationship Id="rId5" Type="http://schemas.openxmlformats.org/officeDocument/2006/relationships/hyperlink" Target="https://kontur.ru/articles/4710" TargetMode="External"/><Relationship Id="rId15" Type="http://schemas.openxmlformats.org/officeDocument/2006/relationships/hyperlink" Target="https://kontur.ru/articles/6279" TargetMode="External"/><Relationship Id="rId23" Type="http://schemas.openxmlformats.org/officeDocument/2006/relationships/hyperlink" Target="https://xn--90aifddrld7a.xn--p1ai/centers" TargetMode="External"/><Relationship Id="rId28" Type="http://schemas.openxmlformats.org/officeDocument/2006/relationships/hyperlink" Target="https://tourism.gov.ru/deyatelnost/mery-podderzhki/" TargetMode="External"/><Relationship Id="rId36" Type="http://schemas.openxmlformats.org/officeDocument/2006/relationships/hyperlink" Target="https://kontur.ru/articles/929" TargetMode="External"/><Relationship Id="rId49" Type="http://schemas.openxmlformats.org/officeDocument/2006/relationships/hyperlink" Target="https://saratov-bis.ru/msp/" TargetMode="External"/><Relationship Id="rId10" Type="http://schemas.openxmlformats.org/officeDocument/2006/relationships/hyperlink" Target="https://kontur.ru/articles/4710" TargetMode="External"/><Relationship Id="rId19" Type="http://schemas.openxmlformats.org/officeDocument/2006/relationships/hyperlink" Target="https://kontur.ru/articles/6656" TargetMode="External"/><Relationship Id="rId31" Type="http://schemas.openxmlformats.org/officeDocument/2006/relationships/hyperlink" Target="https://digital.gov.ru/ru/activity/directions/418/" TargetMode="External"/><Relationship Id="rId44" Type="http://schemas.openxmlformats.org/officeDocument/2006/relationships/hyperlink" Target="https://corpmsp.ru/org-infrastruktury-podderzhki" TargetMode="External"/><Relationship Id="rId52" Type="http://schemas.openxmlformats.org/officeDocument/2006/relationships/hyperlink" Target="https://xn--l1agf.xn--p1ai/services/antikrizisnye-m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710" TargetMode="External"/><Relationship Id="rId14" Type="http://schemas.openxmlformats.org/officeDocument/2006/relationships/hyperlink" Target="https://www.cbr.ru/faq/client/" TargetMode="External"/><Relationship Id="rId22" Type="http://schemas.openxmlformats.org/officeDocument/2006/relationships/hyperlink" Target="https://mbkuban.ru/financial-support/subsidies/" TargetMode="External"/><Relationship Id="rId27" Type="http://schemas.openxmlformats.org/officeDocument/2006/relationships/hyperlink" Target="https://tourism.gov.ru/deyatelnost/mery-podderzhki/granty-v-turizme/" TargetMode="External"/><Relationship Id="rId30" Type="http://schemas.openxmlformats.org/officeDocument/2006/relationships/hyperlink" Target="https://merp.pnzreg.ru/protivodeystvie-korruptsii/!%D0%BD%D0%B0%D0%B2%D0%B8%D0%B3%D0%B0%D1%82%D0%BE%D1%80.pdf" TargetMode="External"/><Relationship Id="rId35" Type="http://schemas.openxmlformats.org/officeDocument/2006/relationships/hyperlink" Target="https://normativ.kontur.ru/document?moduleId=1&amp;documentId=418838&amp;p=1210&amp;utm_ad=13151800961&amp;utm_medium=cpc&amp;utm_source=YandexDirect&amp;utm_campaign=kontur-ofd-rsya&amp;utm_content=kod-aktivatsii%7Ctid%7C42339224837_42339224837%7Csrc%7Ccontext%7Cdev%7Cdesktop%7Crgn%7C%D0%A1%D0%B0%D1%80%D0%B0%D1%82%D0%BE%D0%B2%D1%81%D0%BA%D0%B0%D1%8F+%D0%BE%D0%B1%D0%BB%D0%B0%D1%81%D1%82%D1%8C%7Cmtp%7C%7Cref%7Cwin.mail.ru&amp;utm_term=%D0%BA%D0%BE%D0%B4+%D0%B0%D0%BA%D1%82%D0%B8%D0%B2%D0%B0%D1%86%D0%B8%D0%B8+%D0%BE%D1%84%D0%B4&amp;yclid=230877963346836921&amp;utm_referer=yandex.ru&amp;utm_startpage=kontur.ru%2Farticles%2F4710&amp;utm_orderpage=kontur.ru%2Farticles%2F4710" TargetMode="External"/><Relationship Id="rId43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48" Type="http://schemas.openxmlformats.org/officeDocument/2006/relationships/hyperlink" Target="http://mcx.ru/activity/state-support/measure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kontur.ru/articles/4710" TargetMode="External"/><Relationship Id="rId51" Type="http://schemas.openxmlformats.org/officeDocument/2006/relationships/hyperlink" Target="https://normativ.kontur.ru/document?moduleId=1&amp;documentId=412798&amp;p=1210&amp;utm_ad=13151800961&amp;utm_medium=cpc&amp;utm_source=YandexDirect&amp;utm_campaign=kontur-ofd-rsya&amp;utm_content=kod-aktivatsii%7Ctid%7C42339224837_42339224837%7Csrc%7Ccontext%7Cdev%7Cdesktop%7Crgn%7C%D0%A1%D0%B0%D1%80%D0%B0%D1%82%D0%BE%D0%B2%D1%81%D0%BA%D0%B0%D1%8F+%D0%BE%D0%B1%D0%BB%D0%B0%D1%81%D1%82%D1%8C%7Cmtp%7C%7Cref%7Cwin.mail.ru&amp;utm_term=%D0%BA%D0%BE%D0%B4+%D0%B0%D0%BA%D1%82%D0%B8%D0%B2%D0%B0%D1%86%D0%B8%D0%B8+%D0%BE%D1%84%D0%B4&amp;yclid=230877963346836921&amp;utm_referer=yandex.ru&amp;utm_startpage=kontur.ru%2Farticles%2F4710&amp;utm_orderpage=kontur.ru%2Farticles%2F47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4059</Words>
  <Characters>23137</Characters>
  <Application>Microsoft Office Word</Application>
  <DocSecurity>0</DocSecurity>
  <Lines>192</Lines>
  <Paragraphs>54</Paragraphs>
  <ScaleCrop>false</ScaleCrop>
  <Company/>
  <LinksUpToDate>false</LinksUpToDate>
  <CharactersWithSpaces>27142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4</cp:revision>
  <dcterms:created xsi:type="dcterms:W3CDTF">2023-03-09T07:54:00Z</dcterms:created>
  <dcterms:modified xsi:type="dcterms:W3CDTF">2023-03-16T10:13:00Z</dcterms:modified>
</cp:coreProperties>
</file>