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F82865" w:rsidP="00F5600F">
      <w:pPr>
        <w:jc w:val="right"/>
        <w:rPr>
          <w:b/>
          <w:sz w:val="28"/>
          <w:szCs w:val="28"/>
        </w:rPr>
      </w:pPr>
      <w:r>
        <w:rPr>
          <w:b/>
          <w:sz w:val="28"/>
          <w:szCs w:val="28"/>
        </w:rPr>
        <w:t xml:space="preserve"> </w:t>
      </w:r>
      <w:r w:rsidR="00313DD5">
        <w:rPr>
          <w:b/>
          <w:sz w:val="28"/>
          <w:szCs w:val="28"/>
        </w:rPr>
        <w:t xml:space="preserve"> </w:t>
      </w:r>
      <w:r w:rsidR="008906B2">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F77BC" w:rsidP="000C6F68">
      <w:pPr>
        <w:rPr>
          <w:b/>
          <w:sz w:val="24"/>
          <w:szCs w:val="24"/>
        </w:rPr>
      </w:pPr>
      <w:r>
        <w:rPr>
          <w:sz w:val="24"/>
          <w:szCs w:val="24"/>
        </w:rPr>
        <w:t>от  27</w:t>
      </w:r>
      <w:r w:rsidR="00F82865">
        <w:rPr>
          <w:sz w:val="24"/>
          <w:szCs w:val="24"/>
        </w:rPr>
        <w:t xml:space="preserve">  </w:t>
      </w:r>
      <w:r w:rsidR="003A1D03">
        <w:rPr>
          <w:sz w:val="24"/>
          <w:szCs w:val="24"/>
        </w:rPr>
        <w:t>декабря</w:t>
      </w:r>
      <w:r w:rsidR="000C6F68">
        <w:rPr>
          <w:sz w:val="24"/>
          <w:szCs w:val="24"/>
        </w:rPr>
        <w:t xml:space="preserve"> </w:t>
      </w:r>
      <w:r w:rsidR="000C6F68" w:rsidRPr="001131AB">
        <w:rPr>
          <w:sz w:val="24"/>
          <w:szCs w:val="24"/>
        </w:rPr>
        <w:t>202</w:t>
      </w:r>
      <w:r w:rsidR="0007249F">
        <w:rPr>
          <w:sz w:val="24"/>
          <w:szCs w:val="24"/>
        </w:rPr>
        <w:t>3</w:t>
      </w:r>
      <w:r w:rsidR="000C6F68" w:rsidRPr="001131AB">
        <w:rPr>
          <w:sz w:val="24"/>
          <w:szCs w:val="24"/>
        </w:rPr>
        <w:t xml:space="preserve"> года                    </w:t>
      </w:r>
      <w:r w:rsidR="002E4AEE">
        <w:rPr>
          <w:sz w:val="24"/>
          <w:szCs w:val="24"/>
        </w:rPr>
        <w:t xml:space="preserve">        </w:t>
      </w:r>
      <w:r w:rsidR="00CF36A0">
        <w:rPr>
          <w:sz w:val="24"/>
          <w:szCs w:val="24"/>
        </w:rPr>
        <w:t xml:space="preserve">    </w:t>
      </w:r>
      <w:r w:rsidR="002E4AEE">
        <w:rPr>
          <w:sz w:val="24"/>
          <w:szCs w:val="24"/>
        </w:rPr>
        <w:t xml:space="preserve"> </w:t>
      </w:r>
      <w:r w:rsidR="000C6F68" w:rsidRPr="001131AB">
        <w:rPr>
          <w:sz w:val="24"/>
          <w:szCs w:val="24"/>
        </w:rPr>
        <w:t xml:space="preserve">№ </w:t>
      </w:r>
      <w:r w:rsidR="00F82865">
        <w:rPr>
          <w:sz w:val="24"/>
          <w:szCs w:val="24"/>
        </w:rPr>
        <w:t>152</w:t>
      </w:r>
      <w:r w:rsidR="000C6F68" w:rsidRPr="001131AB">
        <w:rPr>
          <w:sz w:val="24"/>
          <w:szCs w:val="24"/>
        </w:rPr>
        <w:t xml:space="preserve">                    </w:t>
      </w:r>
      <w:r w:rsidR="002E4AEE">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A0780" w:rsidRPr="00ED37A6" w:rsidRDefault="000C6F68" w:rsidP="00ED37A6">
      <w:pPr>
        <w:jc w:val="center"/>
        <w:rPr>
          <w:rStyle w:val="af7"/>
          <w:color w:val="000000"/>
          <w:sz w:val="26"/>
          <w:szCs w:val="26"/>
        </w:rPr>
      </w:pPr>
      <w:r w:rsidRPr="000F4375">
        <w:rPr>
          <w:b/>
          <w:sz w:val="26"/>
          <w:szCs w:val="26"/>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0F4375">
        <w:rPr>
          <w:b/>
          <w:sz w:val="26"/>
          <w:szCs w:val="26"/>
        </w:rPr>
        <w:t xml:space="preserve"> </w:t>
      </w:r>
      <w:r w:rsidRPr="000F4375">
        <w:rPr>
          <w:b/>
          <w:sz w:val="26"/>
          <w:szCs w:val="26"/>
        </w:rPr>
        <w:t>на 2022-2024 годы»</w:t>
      </w:r>
      <w:r w:rsidR="00527135">
        <w:rPr>
          <w:b/>
          <w:sz w:val="26"/>
          <w:szCs w:val="26"/>
        </w:rPr>
        <w:t xml:space="preserve">  </w:t>
      </w:r>
      <w:r w:rsidR="00527135" w:rsidRPr="00527135">
        <w:rPr>
          <w:b/>
          <w:sz w:val="24"/>
          <w:szCs w:val="24"/>
        </w:rPr>
        <w:t>(с изм.</w:t>
      </w:r>
      <w:r w:rsidR="004A0780" w:rsidRPr="00527135">
        <w:rPr>
          <w:b/>
          <w:sz w:val="24"/>
          <w:szCs w:val="24"/>
        </w:rPr>
        <w:t xml:space="preserve">     </w:t>
      </w:r>
      <w:r w:rsidR="004A0780" w:rsidRPr="00527135">
        <w:rPr>
          <w:rStyle w:val="af7"/>
          <w:color w:val="000000"/>
          <w:sz w:val="24"/>
          <w:szCs w:val="24"/>
        </w:rPr>
        <w:t xml:space="preserve">  от  25.02.2022г. №24, от 27.05.2022г. №52 ,  от 01.06.2022г. №55</w:t>
      </w:r>
      <w:r w:rsidR="00C3574C" w:rsidRPr="00527135">
        <w:rPr>
          <w:rStyle w:val="af7"/>
          <w:color w:val="000000"/>
          <w:sz w:val="24"/>
          <w:szCs w:val="24"/>
        </w:rPr>
        <w:t>, от 17.06.2022г. №66</w:t>
      </w:r>
      <w:r w:rsidR="001C3B6E" w:rsidRPr="00527135">
        <w:rPr>
          <w:rStyle w:val="af7"/>
          <w:color w:val="000000"/>
          <w:sz w:val="24"/>
          <w:szCs w:val="24"/>
        </w:rPr>
        <w:t>, от  30.09.2022г. №116</w:t>
      </w:r>
      <w:r w:rsidR="001A47CA" w:rsidRPr="00527135">
        <w:rPr>
          <w:rStyle w:val="af7"/>
          <w:color w:val="000000"/>
          <w:sz w:val="24"/>
          <w:szCs w:val="24"/>
        </w:rPr>
        <w:t>, от 14.10.2022 №117</w:t>
      </w:r>
      <w:r w:rsidR="00E964F9" w:rsidRPr="00527135">
        <w:rPr>
          <w:rStyle w:val="af7"/>
          <w:color w:val="000000"/>
          <w:sz w:val="24"/>
          <w:szCs w:val="24"/>
        </w:rPr>
        <w:t>, от 20.10.2022г. №118</w:t>
      </w:r>
      <w:r w:rsidR="00560C3A" w:rsidRPr="00527135">
        <w:rPr>
          <w:rStyle w:val="af7"/>
          <w:color w:val="000000"/>
          <w:sz w:val="24"/>
          <w:szCs w:val="24"/>
        </w:rPr>
        <w:t>, от 28.10.2022г. №120</w:t>
      </w:r>
      <w:r w:rsidR="006B5A30" w:rsidRPr="00527135">
        <w:rPr>
          <w:rStyle w:val="af7"/>
          <w:color w:val="000000"/>
          <w:sz w:val="24"/>
          <w:szCs w:val="24"/>
        </w:rPr>
        <w:t>, от 19.12.2022г. №144</w:t>
      </w:r>
      <w:r w:rsidR="002912F6" w:rsidRPr="00527135">
        <w:rPr>
          <w:rStyle w:val="af7"/>
          <w:color w:val="000000"/>
          <w:sz w:val="24"/>
          <w:szCs w:val="24"/>
        </w:rPr>
        <w:t>, от 17.01.2023г. №04</w:t>
      </w:r>
      <w:r w:rsidR="007E1186" w:rsidRPr="00527135">
        <w:rPr>
          <w:rStyle w:val="af7"/>
          <w:color w:val="000000"/>
          <w:sz w:val="24"/>
          <w:szCs w:val="24"/>
        </w:rPr>
        <w:t>,</w:t>
      </w:r>
      <w:r w:rsidR="00ED37A6" w:rsidRPr="00527135">
        <w:rPr>
          <w:rStyle w:val="af7"/>
          <w:color w:val="000000"/>
          <w:sz w:val="24"/>
          <w:szCs w:val="24"/>
        </w:rPr>
        <w:t xml:space="preserve"> </w:t>
      </w:r>
      <w:r w:rsidR="007E1186" w:rsidRPr="00527135">
        <w:rPr>
          <w:rStyle w:val="af7"/>
          <w:color w:val="000000"/>
          <w:sz w:val="24"/>
          <w:szCs w:val="24"/>
        </w:rPr>
        <w:t xml:space="preserve"> от 13.02.2023г. №22</w:t>
      </w:r>
      <w:r w:rsidR="002F0089" w:rsidRPr="00527135">
        <w:rPr>
          <w:rStyle w:val="af7"/>
          <w:color w:val="000000"/>
          <w:sz w:val="24"/>
          <w:szCs w:val="24"/>
        </w:rPr>
        <w:t>,  от 15.06.2023г. №77</w:t>
      </w:r>
      <w:r w:rsidR="0061505C" w:rsidRPr="00527135">
        <w:rPr>
          <w:rStyle w:val="af7"/>
          <w:color w:val="000000"/>
          <w:sz w:val="24"/>
          <w:szCs w:val="24"/>
        </w:rPr>
        <w:t>, от 29.06.2023г. №86</w:t>
      </w:r>
      <w:r w:rsidR="00F73D85" w:rsidRPr="00527135">
        <w:rPr>
          <w:rStyle w:val="af7"/>
          <w:color w:val="000000"/>
          <w:sz w:val="24"/>
          <w:szCs w:val="24"/>
        </w:rPr>
        <w:t>, от 06</w:t>
      </w:r>
      <w:r w:rsidR="00EA53FE" w:rsidRPr="00527135">
        <w:rPr>
          <w:rStyle w:val="af7"/>
          <w:color w:val="000000"/>
          <w:sz w:val="24"/>
          <w:szCs w:val="24"/>
        </w:rPr>
        <w:t>.09.2023г. №108</w:t>
      </w:r>
      <w:r w:rsidR="0095773A" w:rsidRPr="00527135">
        <w:rPr>
          <w:rStyle w:val="af7"/>
          <w:color w:val="000000"/>
          <w:sz w:val="24"/>
          <w:szCs w:val="24"/>
        </w:rPr>
        <w:t>, от 22.09.2023г. №115</w:t>
      </w:r>
      <w:r w:rsidR="00DD3FD9" w:rsidRPr="00527135">
        <w:rPr>
          <w:rStyle w:val="af7"/>
          <w:color w:val="000000"/>
          <w:sz w:val="24"/>
          <w:szCs w:val="24"/>
        </w:rPr>
        <w:t>, от 12.10.2023г. №119</w:t>
      </w:r>
      <w:r w:rsidR="00527135" w:rsidRPr="00527135">
        <w:rPr>
          <w:rStyle w:val="af7"/>
          <w:color w:val="000000"/>
          <w:sz w:val="24"/>
          <w:szCs w:val="24"/>
        </w:rPr>
        <w:t>, от 24.11.2023г. №129</w:t>
      </w:r>
      <w:r w:rsidR="004A0780" w:rsidRPr="00527135">
        <w:rPr>
          <w:rStyle w:val="af7"/>
          <w:color w:val="000000"/>
          <w:sz w:val="24"/>
          <w:szCs w:val="24"/>
        </w:rPr>
        <w:t>)</w:t>
      </w:r>
    </w:p>
    <w:p w:rsidR="004A0780" w:rsidRPr="000F4375" w:rsidRDefault="004A0780" w:rsidP="004A0780">
      <w:pPr>
        <w:ind w:left="6096"/>
        <w:rPr>
          <w:rStyle w:val="af7"/>
          <w:color w:val="000000"/>
          <w:sz w:val="26"/>
          <w:szCs w:val="26"/>
        </w:rPr>
      </w:pPr>
    </w:p>
    <w:p w:rsidR="0064094B" w:rsidRDefault="004472B3" w:rsidP="00683F1D">
      <w:pPr>
        <w:ind w:left="1" w:firstLine="1"/>
        <w:jc w:val="both"/>
        <w:rPr>
          <w:sz w:val="26"/>
          <w:szCs w:val="26"/>
        </w:rPr>
      </w:pPr>
      <w:r w:rsidRPr="000F4375">
        <w:rPr>
          <w:b/>
          <w:sz w:val="26"/>
          <w:szCs w:val="26"/>
        </w:rPr>
        <w:t xml:space="preserve">          </w:t>
      </w:r>
      <w:r w:rsidR="000C6F68" w:rsidRPr="000F4375">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0F4375">
        <w:rPr>
          <w:color w:val="000000" w:themeColor="text1"/>
          <w:sz w:val="26"/>
          <w:szCs w:val="26"/>
          <w:shd w:val="clear" w:color="auto" w:fill="FFFFFF"/>
        </w:rPr>
        <w:t>Законом Саратовской области от 30 сентября 2014 г. N 108-ЗСО</w:t>
      </w:r>
      <w:r w:rsidR="000C6F68" w:rsidRPr="000F4375">
        <w:rPr>
          <w:color w:val="000000" w:themeColor="text1"/>
          <w:sz w:val="26"/>
          <w:szCs w:val="26"/>
        </w:rPr>
        <w:t xml:space="preserve"> </w:t>
      </w:r>
      <w:r w:rsidR="000C6F68" w:rsidRPr="000F4375">
        <w:rPr>
          <w:color w:val="000000" w:themeColor="text1"/>
          <w:sz w:val="26"/>
          <w:szCs w:val="26"/>
          <w:shd w:val="clear" w:color="auto" w:fill="FFFFFF"/>
        </w:rPr>
        <w:t>"О вопросах местного значения сельских поселений Саратовской области"</w:t>
      </w:r>
      <w:r w:rsidR="000C6F68" w:rsidRPr="000F4375">
        <w:rPr>
          <w:sz w:val="26"/>
          <w:szCs w:val="26"/>
        </w:rPr>
        <w:t>, Уставом Симоновского муниципального образования,</w:t>
      </w:r>
    </w:p>
    <w:p w:rsidR="000C6F68" w:rsidRPr="000F4375" w:rsidRDefault="000C6F68" w:rsidP="00683F1D">
      <w:pPr>
        <w:ind w:left="1" w:firstLine="1"/>
        <w:jc w:val="both"/>
        <w:rPr>
          <w:sz w:val="26"/>
          <w:szCs w:val="26"/>
        </w:rPr>
      </w:pPr>
      <w:r w:rsidRPr="000F4375">
        <w:rPr>
          <w:b/>
          <w:sz w:val="26"/>
          <w:szCs w:val="26"/>
        </w:rPr>
        <w:t>ПОСТАНОВЛЯЕТ:</w:t>
      </w:r>
    </w:p>
    <w:p w:rsidR="000C6F68" w:rsidRPr="000F4375" w:rsidRDefault="000C6F68" w:rsidP="00D53716">
      <w:pPr>
        <w:jc w:val="both"/>
        <w:rPr>
          <w:sz w:val="26"/>
          <w:szCs w:val="26"/>
        </w:rPr>
      </w:pPr>
      <w:r w:rsidRPr="000F4375">
        <w:rPr>
          <w:b/>
          <w:sz w:val="26"/>
          <w:szCs w:val="26"/>
        </w:rPr>
        <w:t xml:space="preserve">          </w:t>
      </w:r>
      <w:r w:rsidRPr="000F4375">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sidR="00592D95">
        <w:rPr>
          <w:sz w:val="26"/>
          <w:szCs w:val="26"/>
        </w:rPr>
        <w:t>30.11. 2021</w:t>
      </w:r>
      <w:r w:rsidRPr="000F4375">
        <w:rPr>
          <w:sz w:val="26"/>
          <w:szCs w:val="26"/>
        </w:rPr>
        <w:t>г. №66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2022-2024 годы» ,   следующие изменения:</w:t>
      </w:r>
    </w:p>
    <w:p w:rsidR="000C6F68" w:rsidRPr="000F4375" w:rsidRDefault="000C6F68" w:rsidP="00D53716">
      <w:pPr>
        <w:jc w:val="both"/>
        <w:rPr>
          <w:b/>
          <w:sz w:val="26"/>
          <w:szCs w:val="26"/>
        </w:rPr>
      </w:pPr>
      <w:r w:rsidRPr="000F4375">
        <w:rPr>
          <w:sz w:val="26"/>
          <w:szCs w:val="26"/>
        </w:rPr>
        <w:t xml:space="preserve">         </w:t>
      </w:r>
      <w:r w:rsidRPr="000F4375">
        <w:rPr>
          <w:color w:val="000000"/>
          <w:sz w:val="26"/>
          <w:szCs w:val="26"/>
        </w:rPr>
        <w:t>1.</w:t>
      </w:r>
      <w:r w:rsidRPr="000F4375">
        <w:rPr>
          <w:sz w:val="26"/>
          <w:szCs w:val="26"/>
        </w:rPr>
        <w:t xml:space="preserve">Изложить в новой редакции    Паспорт  муниципальной  программы   </w:t>
      </w:r>
      <w:r w:rsidRPr="000F4375">
        <w:rPr>
          <w:b/>
          <w:sz w:val="26"/>
          <w:szCs w:val="26"/>
        </w:rPr>
        <w:t xml:space="preserve">  </w:t>
      </w:r>
    </w:p>
    <w:p w:rsidR="000C6F68" w:rsidRPr="000F4375" w:rsidRDefault="000C6F68" w:rsidP="00D53716">
      <w:pPr>
        <w:jc w:val="both"/>
        <w:rPr>
          <w:sz w:val="26"/>
          <w:szCs w:val="26"/>
        </w:rPr>
      </w:pPr>
      <w:r w:rsidRPr="000F4375">
        <w:rPr>
          <w:sz w:val="26"/>
          <w:szCs w:val="26"/>
        </w:rPr>
        <w:t xml:space="preserve">«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2022-2024 годы»,  </w:t>
      </w:r>
      <w:r w:rsidRPr="000F4375">
        <w:rPr>
          <w:b/>
          <w:sz w:val="26"/>
          <w:szCs w:val="26"/>
        </w:rPr>
        <w:t xml:space="preserve"> </w:t>
      </w:r>
      <w:r w:rsidRPr="000F4375">
        <w:rPr>
          <w:sz w:val="26"/>
          <w:szCs w:val="26"/>
        </w:rPr>
        <w:t xml:space="preserve">утвержденной  постановлением   </w:t>
      </w:r>
      <w:r w:rsidRPr="000F4375">
        <w:rPr>
          <w:bCs/>
          <w:sz w:val="26"/>
          <w:szCs w:val="26"/>
        </w:rPr>
        <w:t>администрации  Симоновского муниципального образования Калининского муниципального района Саратовской области от 30.11.2021г. №66.</w:t>
      </w:r>
    </w:p>
    <w:p w:rsidR="000C6F68" w:rsidRPr="000F4375" w:rsidRDefault="000C6F68" w:rsidP="00D53716">
      <w:pPr>
        <w:pStyle w:val="aa"/>
        <w:jc w:val="both"/>
        <w:rPr>
          <w:rFonts w:ascii="Times New Roman" w:hAnsi="Times New Roman"/>
          <w:sz w:val="26"/>
          <w:szCs w:val="26"/>
        </w:rPr>
      </w:pPr>
      <w:r w:rsidRPr="000F4375">
        <w:rPr>
          <w:rFonts w:ascii="Times New Roman" w:hAnsi="Times New Roman"/>
          <w:sz w:val="26"/>
          <w:szCs w:val="26"/>
        </w:rPr>
        <w:t xml:space="preserve">      </w:t>
      </w:r>
      <w:r w:rsidR="00683F1D" w:rsidRPr="000F4375">
        <w:rPr>
          <w:rFonts w:ascii="Times New Roman" w:hAnsi="Times New Roman"/>
          <w:sz w:val="26"/>
          <w:szCs w:val="26"/>
        </w:rPr>
        <w:t xml:space="preserve">   </w:t>
      </w:r>
      <w:r w:rsidRPr="000F4375">
        <w:rPr>
          <w:rFonts w:ascii="Times New Roman" w:hAnsi="Times New Roman"/>
          <w:color w:val="000000"/>
          <w:sz w:val="26"/>
          <w:szCs w:val="26"/>
        </w:rPr>
        <w:t xml:space="preserve">2.Настоящее </w:t>
      </w:r>
      <w:r w:rsidR="00692B28"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постановление </w:t>
      </w:r>
      <w:r w:rsidR="00692B28" w:rsidRPr="000F4375">
        <w:rPr>
          <w:rFonts w:ascii="Times New Roman" w:hAnsi="Times New Roman"/>
          <w:color w:val="000000"/>
          <w:sz w:val="26"/>
          <w:szCs w:val="26"/>
        </w:rPr>
        <w:t xml:space="preserve">  в</w:t>
      </w:r>
      <w:r w:rsidRPr="000F4375">
        <w:rPr>
          <w:rFonts w:ascii="Times New Roman" w:hAnsi="Times New Roman"/>
          <w:color w:val="000000"/>
          <w:sz w:val="26"/>
          <w:szCs w:val="26"/>
        </w:rPr>
        <w:t>ступает в силу с момента обнародования .</w:t>
      </w:r>
    </w:p>
    <w:p w:rsidR="000C6F68" w:rsidRPr="000F4375" w:rsidRDefault="000C6F68" w:rsidP="00D53716">
      <w:pPr>
        <w:pStyle w:val="aa"/>
        <w:jc w:val="both"/>
        <w:rPr>
          <w:rFonts w:ascii="Times New Roman" w:hAnsi="Times New Roman"/>
          <w:color w:val="000000"/>
          <w:sz w:val="26"/>
          <w:szCs w:val="26"/>
        </w:rPr>
      </w:pPr>
      <w:r w:rsidRPr="000F4375">
        <w:rPr>
          <w:rFonts w:ascii="Times New Roman" w:hAnsi="Times New Roman"/>
          <w:color w:val="000000"/>
          <w:sz w:val="26"/>
          <w:szCs w:val="26"/>
        </w:rPr>
        <w:t xml:space="preserve">    </w:t>
      </w:r>
      <w:r w:rsidR="00683F1D"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 3.Контроль за исполнением настоящего постановления оставляю за собой.</w:t>
      </w:r>
    </w:p>
    <w:p w:rsidR="000C6F68" w:rsidRPr="000F4375" w:rsidRDefault="000C6F68" w:rsidP="00D53716">
      <w:pPr>
        <w:jc w:val="both"/>
        <w:rPr>
          <w:sz w:val="26"/>
          <w:szCs w:val="26"/>
        </w:rPr>
      </w:pPr>
    </w:p>
    <w:p w:rsidR="000C6F68" w:rsidRPr="000F4375" w:rsidRDefault="005A0B99" w:rsidP="00D53716">
      <w:pPr>
        <w:jc w:val="both"/>
        <w:rPr>
          <w:b/>
          <w:sz w:val="26"/>
          <w:szCs w:val="26"/>
        </w:rPr>
      </w:pPr>
      <w:r>
        <w:rPr>
          <w:b/>
          <w:sz w:val="26"/>
          <w:szCs w:val="26"/>
        </w:rPr>
        <w:t>Глава</w:t>
      </w:r>
      <w:r w:rsidR="000C6F68" w:rsidRPr="000F4375">
        <w:rPr>
          <w:b/>
          <w:sz w:val="26"/>
          <w:szCs w:val="26"/>
        </w:rPr>
        <w:t xml:space="preserve"> администрации </w:t>
      </w:r>
    </w:p>
    <w:p w:rsidR="000C6F68" w:rsidRPr="000F4375" w:rsidRDefault="000C6F68" w:rsidP="00D53716">
      <w:pPr>
        <w:jc w:val="both"/>
        <w:rPr>
          <w:b/>
          <w:sz w:val="26"/>
          <w:szCs w:val="26"/>
        </w:rPr>
      </w:pPr>
      <w:r w:rsidRPr="000F4375">
        <w:rPr>
          <w:b/>
          <w:sz w:val="26"/>
          <w:szCs w:val="26"/>
        </w:rPr>
        <w:t xml:space="preserve">Симоновского МО                                                     </w:t>
      </w:r>
      <w:r w:rsidR="00683F1D" w:rsidRPr="000F4375">
        <w:rPr>
          <w:b/>
          <w:sz w:val="26"/>
          <w:szCs w:val="26"/>
        </w:rPr>
        <w:t xml:space="preserve">               </w:t>
      </w:r>
      <w:r w:rsidRPr="000F4375">
        <w:rPr>
          <w:b/>
          <w:sz w:val="26"/>
          <w:szCs w:val="26"/>
        </w:rPr>
        <w:t xml:space="preserve"> </w:t>
      </w:r>
      <w:r w:rsidR="000F4375">
        <w:rPr>
          <w:b/>
          <w:sz w:val="26"/>
          <w:szCs w:val="26"/>
        </w:rPr>
        <w:t xml:space="preserve">                    </w:t>
      </w:r>
      <w:r w:rsidR="00403B89" w:rsidRPr="000F4375">
        <w:rPr>
          <w:b/>
          <w:sz w:val="26"/>
          <w:szCs w:val="26"/>
        </w:rPr>
        <w:t xml:space="preserve"> </w:t>
      </w:r>
      <w:r w:rsidR="00AD18C6" w:rsidRPr="000F4375">
        <w:rPr>
          <w:b/>
          <w:sz w:val="26"/>
          <w:szCs w:val="26"/>
        </w:rPr>
        <w:t xml:space="preserve"> С.Н.К</w:t>
      </w:r>
      <w:r w:rsidR="009E29D4" w:rsidRPr="000F4375">
        <w:rPr>
          <w:b/>
          <w:sz w:val="26"/>
          <w:szCs w:val="26"/>
        </w:rPr>
        <w:t>узенков</w:t>
      </w:r>
    </w:p>
    <w:p w:rsidR="000C6F68" w:rsidRPr="000F4375" w:rsidRDefault="000C6F68" w:rsidP="000C6F68">
      <w:pPr>
        <w:rPr>
          <w:sz w:val="27"/>
          <w:szCs w:val="27"/>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0C6F68" w:rsidRPr="001131AB" w:rsidRDefault="000F4375"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6F6B52">
        <w:rPr>
          <w:b/>
          <w:sz w:val="22"/>
          <w:szCs w:val="22"/>
        </w:rPr>
        <w:t xml:space="preserve">                               </w:t>
      </w:r>
      <w:r>
        <w:rPr>
          <w:b/>
          <w:sz w:val="22"/>
          <w:szCs w:val="22"/>
        </w:rPr>
        <w:t xml:space="preserve">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004562" w:rsidRDefault="00AF0F84" w:rsidP="00AA4DFA">
      <w:pPr>
        <w:jc w:val="center"/>
        <w:rPr>
          <w:rStyle w:val="af7"/>
          <w:color w:val="000000"/>
          <w:sz w:val="22"/>
          <w:szCs w:val="22"/>
        </w:rPr>
      </w:pPr>
      <w:r>
        <w:rPr>
          <w:rStyle w:val="af7"/>
          <w:color w:val="000000"/>
          <w:sz w:val="22"/>
          <w:szCs w:val="22"/>
        </w:rPr>
        <w:t xml:space="preserve">                                                        </w:t>
      </w:r>
      <w:r w:rsidR="006A491F">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29.06.2023г. №86</w:t>
      </w:r>
      <w:r w:rsidR="006A491F">
        <w:rPr>
          <w:rStyle w:val="af7"/>
          <w:color w:val="000000"/>
          <w:sz w:val="22"/>
          <w:szCs w:val="22"/>
        </w:rPr>
        <w:t>, от 06.09.2023 №108</w:t>
      </w:r>
      <w:r w:rsidR="00004562">
        <w:rPr>
          <w:rStyle w:val="af7"/>
          <w:color w:val="000000"/>
          <w:sz w:val="22"/>
          <w:szCs w:val="22"/>
        </w:rPr>
        <w:t>,</w:t>
      </w:r>
    </w:p>
    <w:p w:rsidR="003C25C5" w:rsidRDefault="00004562" w:rsidP="00AA4DFA">
      <w:pPr>
        <w:jc w:val="center"/>
        <w:rPr>
          <w:rStyle w:val="af7"/>
          <w:color w:val="000000"/>
          <w:sz w:val="22"/>
          <w:szCs w:val="22"/>
        </w:rPr>
      </w:pPr>
      <w:r>
        <w:rPr>
          <w:rStyle w:val="af7"/>
          <w:color w:val="000000"/>
          <w:sz w:val="22"/>
          <w:szCs w:val="22"/>
        </w:rPr>
        <w:t xml:space="preserve">                                                     </w:t>
      </w:r>
      <w:r w:rsidR="009022B3">
        <w:rPr>
          <w:rStyle w:val="af7"/>
          <w:color w:val="000000"/>
          <w:sz w:val="22"/>
          <w:szCs w:val="22"/>
        </w:rPr>
        <w:t xml:space="preserve">    </w:t>
      </w:r>
      <w:r w:rsidR="00921A6D">
        <w:rPr>
          <w:rStyle w:val="af7"/>
          <w:color w:val="000000"/>
          <w:sz w:val="22"/>
          <w:szCs w:val="22"/>
        </w:rPr>
        <w:t xml:space="preserve">                               </w:t>
      </w:r>
      <w:r>
        <w:rPr>
          <w:rStyle w:val="af7"/>
          <w:color w:val="000000"/>
          <w:sz w:val="22"/>
          <w:szCs w:val="22"/>
        </w:rPr>
        <w:t>от  22.09.2023г. №115</w:t>
      </w:r>
      <w:r w:rsidR="006F6B52">
        <w:rPr>
          <w:rStyle w:val="af7"/>
          <w:color w:val="000000"/>
          <w:sz w:val="22"/>
          <w:szCs w:val="22"/>
        </w:rPr>
        <w:t>, от 12.10.2023г. №119</w:t>
      </w:r>
      <w:r w:rsidR="003C25C5">
        <w:rPr>
          <w:rStyle w:val="af7"/>
          <w:color w:val="000000"/>
          <w:sz w:val="22"/>
          <w:szCs w:val="22"/>
        </w:rPr>
        <w:t>,</w:t>
      </w:r>
    </w:p>
    <w:p w:rsidR="00AA4DFA" w:rsidRPr="001131AB" w:rsidRDefault="003C25C5" w:rsidP="00AA4DFA">
      <w:pPr>
        <w:jc w:val="center"/>
        <w:rPr>
          <w:rStyle w:val="af7"/>
          <w:color w:val="000000"/>
          <w:sz w:val="22"/>
          <w:szCs w:val="22"/>
        </w:rPr>
      </w:pPr>
      <w:r>
        <w:rPr>
          <w:rStyle w:val="af7"/>
          <w:color w:val="000000"/>
          <w:sz w:val="22"/>
          <w:szCs w:val="22"/>
        </w:rPr>
        <w:t xml:space="preserve">                                                   </w:t>
      </w:r>
      <w:r w:rsidR="00921A6D">
        <w:rPr>
          <w:rStyle w:val="af7"/>
          <w:color w:val="000000"/>
          <w:sz w:val="22"/>
          <w:szCs w:val="22"/>
        </w:rPr>
        <w:t xml:space="preserve">                                  </w:t>
      </w:r>
      <w:r w:rsidR="00B26736">
        <w:rPr>
          <w:rStyle w:val="af7"/>
          <w:color w:val="000000"/>
          <w:sz w:val="22"/>
          <w:szCs w:val="22"/>
        </w:rPr>
        <w:t xml:space="preserve">      </w:t>
      </w:r>
      <w:r w:rsidR="00921A6D">
        <w:rPr>
          <w:rStyle w:val="af7"/>
          <w:color w:val="000000"/>
          <w:sz w:val="22"/>
          <w:szCs w:val="22"/>
        </w:rPr>
        <w:t xml:space="preserve"> </w:t>
      </w:r>
      <w:r>
        <w:rPr>
          <w:rStyle w:val="af7"/>
          <w:color w:val="000000"/>
          <w:sz w:val="22"/>
          <w:szCs w:val="22"/>
        </w:rPr>
        <w:t xml:space="preserve"> от  24.11.2023г. №129</w:t>
      </w:r>
      <w:r w:rsidR="00921A6D">
        <w:rPr>
          <w:rStyle w:val="af7"/>
          <w:color w:val="000000"/>
          <w:sz w:val="22"/>
          <w:szCs w:val="22"/>
        </w:rPr>
        <w:t xml:space="preserve">, от </w:t>
      </w:r>
      <w:r w:rsidR="000F77BC">
        <w:rPr>
          <w:rStyle w:val="af7"/>
          <w:color w:val="000000"/>
          <w:sz w:val="22"/>
          <w:szCs w:val="22"/>
        </w:rPr>
        <w:t>27</w:t>
      </w:r>
      <w:r w:rsidR="00B26736">
        <w:rPr>
          <w:rStyle w:val="af7"/>
          <w:color w:val="000000"/>
          <w:sz w:val="22"/>
          <w:szCs w:val="22"/>
        </w:rPr>
        <w:t>.12.2023г.</w:t>
      </w:r>
      <w:r w:rsidR="00F82865">
        <w:rPr>
          <w:rStyle w:val="af7"/>
          <w:color w:val="000000"/>
          <w:sz w:val="22"/>
          <w:szCs w:val="22"/>
        </w:rPr>
        <w:t>№152</w:t>
      </w:r>
      <w:r w:rsidR="003A1D03">
        <w:rPr>
          <w:rStyle w:val="af7"/>
          <w:color w:val="000000"/>
          <w:sz w:val="22"/>
          <w:szCs w:val="22"/>
        </w:rPr>
        <w:t xml:space="preserve"> </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EB2BC7" w:rsidRDefault="000C6F68" w:rsidP="000C6F68">
      <w:pPr>
        <w:ind w:left="6096"/>
        <w:rPr>
          <w:rStyle w:val="af7"/>
          <w:color w:val="000000"/>
          <w:sz w:val="32"/>
          <w:szCs w:val="32"/>
        </w:rPr>
      </w:pPr>
    </w:p>
    <w:p w:rsidR="000C6F68" w:rsidRPr="004F7B41" w:rsidRDefault="000C6F68" w:rsidP="000C6F68">
      <w:pPr>
        <w:jc w:val="center"/>
        <w:rPr>
          <w:b/>
          <w:sz w:val="36"/>
          <w:szCs w:val="36"/>
        </w:rPr>
      </w:pPr>
      <w:r w:rsidRPr="004F7B41">
        <w:rPr>
          <w:b/>
          <w:sz w:val="36"/>
          <w:szCs w:val="36"/>
        </w:rPr>
        <w:t>Муниципальная программа</w:t>
      </w:r>
    </w:p>
    <w:p w:rsidR="004F7B41" w:rsidRDefault="000C6F68" w:rsidP="000C6F68">
      <w:pPr>
        <w:jc w:val="center"/>
        <w:rPr>
          <w:b/>
          <w:sz w:val="36"/>
          <w:szCs w:val="36"/>
        </w:rPr>
      </w:pPr>
      <w:r w:rsidRPr="004F7B41">
        <w:rPr>
          <w:b/>
          <w:sz w:val="36"/>
          <w:szCs w:val="3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4F7B41" w:rsidRDefault="000C6F68" w:rsidP="000C6F68">
      <w:pPr>
        <w:jc w:val="center"/>
        <w:rPr>
          <w:sz w:val="36"/>
          <w:szCs w:val="36"/>
        </w:rPr>
      </w:pPr>
      <w:r w:rsidRPr="004F7B41">
        <w:rPr>
          <w:b/>
          <w:sz w:val="36"/>
          <w:szCs w:val="36"/>
        </w:rPr>
        <w:t>на 2022-2024 годы"</w:t>
      </w:r>
    </w:p>
    <w:p w:rsidR="000C6F68" w:rsidRPr="004F7B41" w:rsidRDefault="000C6F68" w:rsidP="000C6F68">
      <w:pPr>
        <w:jc w:val="center"/>
        <w:rPr>
          <w:sz w:val="36"/>
          <w:szCs w:val="36"/>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667292" w:rsidP="007A271F">
      <w:pPr>
        <w:rPr>
          <w:b/>
          <w:sz w:val="28"/>
          <w:szCs w:val="28"/>
        </w:rPr>
      </w:pPr>
      <w:r>
        <w:rPr>
          <w:sz w:val="28"/>
          <w:szCs w:val="28"/>
        </w:rPr>
        <w:t xml:space="preserve">                                                   </w:t>
      </w:r>
      <w:r w:rsidR="007A271F">
        <w:rPr>
          <w:sz w:val="28"/>
          <w:szCs w:val="28"/>
        </w:rPr>
        <w:t xml:space="preserve"> </w:t>
      </w:r>
      <w:r w:rsidR="000C6F68">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EB2BC7">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000B1673">
              <w:rPr>
                <w:sz w:val="28"/>
                <w:szCs w:val="28"/>
              </w:rPr>
              <w:t>,0</w:t>
            </w:r>
            <w:r w:rsidRPr="00790E4E">
              <w:rPr>
                <w:sz w:val="28"/>
                <w:szCs w:val="28"/>
              </w:rPr>
              <w:t xml:space="preserve">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Default="000C6F68" w:rsidP="00164D00">
            <w:pPr>
              <w:jc w:val="both"/>
              <w:rPr>
                <w:sz w:val="28"/>
                <w:szCs w:val="28"/>
              </w:rPr>
            </w:pPr>
            <w:r w:rsidRPr="00790E4E">
              <w:rPr>
                <w:sz w:val="28"/>
                <w:szCs w:val="28"/>
              </w:rPr>
              <w:t xml:space="preserve">субсидии из областного бюджета- 6 891,0 тыс.руб. </w:t>
            </w:r>
            <w:r w:rsidR="009C3346">
              <w:rPr>
                <w:sz w:val="28"/>
                <w:szCs w:val="28"/>
              </w:rPr>
              <w:t>;</w:t>
            </w:r>
          </w:p>
          <w:p w:rsidR="009C3346" w:rsidRPr="00790E4E" w:rsidRDefault="000B1673" w:rsidP="00164D00">
            <w:pPr>
              <w:jc w:val="both"/>
              <w:rPr>
                <w:sz w:val="28"/>
                <w:szCs w:val="28"/>
              </w:rPr>
            </w:pPr>
            <w:r>
              <w:rPr>
                <w:sz w:val="28"/>
                <w:szCs w:val="28"/>
              </w:rPr>
              <w:t>-средства местного бюджета-851,0</w:t>
            </w:r>
            <w:r w:rsidR="009C3346">
              <w:rPr>
                <w:sz w:val="28"/>
                <w:szCs w:val="28"/>
              </w:rPr>
              <w:t>тыс.руб</w:t>
            </w:r>
          </w:p>
          <w:p w:rsidR="000C6F68" w:rsidRPr="00915CE8" w:rsidRDefault="000C6F68" w:rsidP="00164D00">
            <w:pPr>
              <w:jc w:val="both"/>
              <w:rPr>
                <w:sz w:val="28"/>
                <w:szCs w:val="28"/>
              </w:rPr>
            </w:pPr>
            <w:r w:rsidRPr="00915CE8">
              <w:rPr>
                <w:sz w:val="28"/>
                <w:szCs w:val="28"/>
              </w:rPr>
              <w:lastRenderedPageBreak/>
              <w:t xml:space="preserve">- 2023 год </w:t>
            </w:r>
            <w:r w:rsidR="0049126F" w:rsidRPr="00915CE8">
              <w:rPr>
                <w:sz w:val="28"/>
                <w:szCs w:val="28"/>
              </w:rPr>
              <w:t xml:space="preserve"> </w:t>
            </w:r>
            <w:r w:rsidR="00B17CCC">
              <w:rPr>
                <w:sz w:val="28"/>
                <w:szCs w:val="28"/>
              </w:rPr>
              <w:t>с</w:t>
            </w:r>
            <w:r w:rsidR="00194FCE">
              <w:rPr>
                <w:sz w:val="28"/>
                <w:szCs w:val="28"/>
              </w:rPr>
              <w:t>оставляет 9  578,0</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68621A" w:rsidRDefault="009C3346" w:rsidP="0049126F">
            <w:pPr>
              <w:jc w:val="both"/>
              <w:rPr>
                <w:sz w:val="28"/>
                <w:szCs w:val="28"/>
              </w:rPr>
            </w:pPr>
            <w:r>
              <w:rPr>
                <w:sz w:val="28"/>
                <w:szCs w:val="28"/>
              </w:rPr>
              <w:t>-средства местного бюджета- 497,6</w:t>
            </w:r>
            <w:r w:rsidR="0068621A">
              <w:rPr>
                <w:sz w:val="28"/>
                <w:szCs w:val="28"/>
              </w:rPr>
              <w:t>тыс.руб;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 xml:space="preserve">д </w:t>
            </w:r>
            <w:r w:rsidR="001D238A">
              <w:rPr>
                <w:sz w:val="28"/>
                <w:szCs w:val="28"/>
              </w:rPr>
              <w:t xml:space="preserve"> </w:t>
            </w:r>
            <w:r w:rsidR="009C3346">
              <w:rPr>
                <w:sz w:val="28"/>
                <w:szCs w:val="28"/>
              </w:rPr>
              <w:t xml:space="preserve"> составляет 8 391,1</w:t>
            </w:r>
            <w:r w:rsidR="000C6F68" w:rsidRPr="00915CE8">
              <w:rPr>
                <w:sz w:val="28"/>
                <w:szCs w:val="28"/>
              </w:rPr>
              <w:t xml:space="preserve"> тыс.руб</w:t>
            </w:r>
            <w:r w:rsidR="009C3346">
              <w:rPr>
                <w:sz w:val="28"/>
                <w:szCs w:val="28"/>
              </w:rPr>
              <w:t>. в  том числе: акцизы – 2 037,1</w:t>
            </w:r>
            <w:r w:rsidR="000C6F68" w:rsidRPr="00915CE8">
              <w:rPr>
                <w:sz w:val="28"/>
                <w:szCs w:val="28"/>
              </w:rPr>
              <w:t xml:space="preserve"> тыс.руб.</w:t>
            </w:r>
          </w:p>
          <w:p w:rsidR="009310F7" w:rsidRDefault="009310F7" w:rsidP="009310F7">
            <w:pPr>
              <w:jc w:val="both"/>
              <w:rPr>
                <w:sz w:val="28"/>
                <w:szCs w:val="28"/>
              </w:rPr>
            </w:pPr>
            <w:r>
              <w:rPr>
                <w:sz w:val="28"/>
                <w:szCs w:val="28"/>
              </w:rPr>
              <w:t>-</w:t>
            </w:r>
            <w:r w:rsidRPr="00915CE8">
              <w:rPr>
                <w:sz w:val="28"/>
                <w:szCs w:val="28"/>
              </w:rPr>
              <w:t xml:space="preserve"> субсидии и</w:t>
            </w:r>
            <w:r>
              <w:rPr>
                <w:sz w:val="28"/>
                <w:szCs w:val="28"/>
              </w:rPr>
              <w:t xml:space="preserve">з областного бюджета </w:t>
            </w:r>
            <w:r w:rsidRPr="00915CE8">
              <w:rPr>
                <w:sz w:val="28"/>
                <w:szCs w:val="28"/>
              </w:rPr>
              <w:t xml:space="preserve">- </w:t>
            </w:r>
            <w:r>
              <w:rPr>
                <w:sz w:val="28"/>
                <w:szCs w:val="28"/>
              </w:rPr>
              <w:t xml:space="preserve"> </w:t>
            </w:r>
            <w:r w:rsidR="009C3346">
              <w:rPr>
                <w:sz w:val="28"/>
                <w:szCs w:val="28"/>
              </w:rPr>
              <w:t>6354</w:t>
            </w:r>
            <w:r w:rsidRPr="00915CE8">
              <w:rPr>
                <w:sz w:val="28"/>
                <w:szCs w:val="28"/>
              </w:rPr>
              <w:t xml:space="preserve">,0 тыс.руб. </w:t>
            </w:r>
            <w:r>
              <w:rPr>
                <w:sz w:val="28"/>
                <w:szCs w:val="28"/>
              </w:rPr>
              <w:t>;</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862329" w:rsidP="006544A6">
            <w:pPr>
              <w:jc w:val="both"/>
              <w:rPr>
                <w:sz w:val="28"/>
                <w:szCs w:val="28"/>
              </w:rPr>
            </w:pPr>
            <w:r>
              <w:rPr>
                <w:sz w:val="28"/>
                <w:szCs w:val="28"/>
              </w:rPr>
              <w:t>2023год   -  2,3074</w:t>
            </w:r>
            <w:r w:rsidR="006544A6">
              <w:rPr>
                <w:sz w:val="28"/>
                <w:szCs w:val="28"/>
              </w:rPr>
              <w:t xml:space="preserve"> км</w:t>
            </w:r>
          </w:p>
          <w:p w:rsidR="006544A6" w:rsidRDefault="006544A6" w:rsidP="006544A6">
            <w:pPr>
              <w:jc w:val="both"/>
              <w:rPr>
                <w:sz w:val="28"/>
                <w:szCs w:val="28"/>
              </w:rPr>
            </w:pPr>
            <w:r>
              <w:rPr>
                <w:sz w:val="28"/>
                <w:szCs w:val="28"/>
              </w:rPr>
              <w:t xml:space="preserve">2024 год  -  </w:t>
            </w:r>
            <w:r w:rsidR="00CE5856">
              <w:rPr>
                <w:sz w:val="28"/>
                <w:szCs w:val="28"/>
              </w:rPr>
              <w:t>3694,77 кв.м</w:t>
            </w:r>
            <w:r>
              <w:rPr>
                <w:sz w:val="28"/>
                <w:szCs w:val="28"/>
              </w:rPr>
              <w:t xml:space="preserve"> </w:t>
            </w:r>
            <w:r w:rsidR="00862329">
              <w:rPr>
                <w:sz w:val="28"/>
                <w:szCs w:val="28"/>
              </w:rPr>
              <w:t xml:space="preserve"> </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BC0743" w:rsidRDefault="00BC0743" w:rsidP="000C6F68">
      <w:pPr>
        <w:ind w:firstLine="567"/>
        <w:jc w:val="both"/>
        <w:rPr>
          <w:sz w:val="28"/>
          <w:szCs w:val="28"/>
        </w:rPr>
      </w:pP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BC0743"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w:t>
      </w:r>
    </w:p>
    <w:p w:rsidR="00BC0743" w:rsidRDefault="00BC0743" w:rsidP="000C6F68">
      <w:pPr>
        <w:ind w:firstLine="567"/>
        <w:jc w:val="both"/>
        <w:rPr>
          <w:sz w:val="28"/>
          <w:szCs w:val="28"/>
        </w:rPr>
      </w:pPr>
    </w:p>
    <w:p w:rsidR="000C6F68" w:rsidRPr="00C0089F" w:rsidRDefault="000C6F68" w:rsidP="000C6F68">
      <w:pPr>
        <w:ind w:firstLine="567"/>
        <w:jc w:val="both"/>
        <w:rPr>
          <w:sz w:val="28"/>
          <w:szCs w:val="28"/>
        </w:rPr>
      </w:pPr>
      <w:r w:rsidRPr="00C0089F">
        <w:rPr>
          <w:sz w:val="28"/>
          <w:szCs w:val="28"/>
        </w:rPr>
        <w:t>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BC0743" w:rsidRDefault="00BC0743"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BC0743" w:rsidRDefault="00BC0743" w:rsidP="000C6F68">
      <w:pPr>
        <w:ind w:firstLine="567"/>
        <w:jc w:val="both"/>
        <w:rPr>
          <w:sz w:val="28"/>
          <w:szCs w:val="28"/>
        </w:rPr>
      </w:pP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w:t>
      </w:r>
      <w:r w:rsidR="00F62567">
        <w:rPr>
          <w:sz w:val="28"/>
          <w:szCs w:val="28"/>
        </w:rPr>
        <w:t xml:space="preserve"> </w:t>
      </w:r>
      <w:r w:rsidR="006602A2">
        <w:rPr>
          <w:sz w:val="28"/>
          <w:szCs w:val="28"/>
        </w:rPr>
        <w:t>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w:t>
      </w:r>
      <w:r w:rsidR="00F62567">
        <w:rPr>
          <w:sz w:val="28"/>
          <w:szCs w:val="28"/>
        </w:rPr>
        <w:t> </w:t>
      </w:r>
      <w:r w:rsidR="00EC0A89">
        <w:rPr>
          <w:sz w:val="28"/>
          <w:szCs w:val="28"/>
        </w:rPr>
        <w:t>5</w:t>
      </w:r>
      <w:r w:rsidR="00F62567">
        <w:rPr>
          <w:sz w:val="28"/>
          <w:szCs w:val="28"/>
        </w:rPr>
        <w:t>78,0</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F62567">
        <w:rPr>
          <w:sz w:val="28"/>
          <w:szCs w:val="28"/>
        </w:rPr>
        <w:t>д составляет   8 391,0</w:t>
      </w:r>
      <w:r w:rsidRPr="00625359">
        <w:rPr>
          <w:sz w:val="28"/>
          <w:szCs w:val="28"/>
        </w:rPr>
        <w:t xml:space="preserve">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Default="000C6F68" w:rsidP="000C6F68">
      <w:pPr>
        <w:jc w:val="center"/>
        <w:rPr>
          <w:b/>
          <w:sz w:val="28"/>
          <w:szCs w:val="28"/>
        </w:rPr>
      </w:pPr>
      <w:r w:rsidRPr="007F6E32">
        <w:rPr>
          <w:b/>
          <w:sz w:val="28"/>
          <w:szCs w:val="28"/>
        </w:rPr>
        <w:t>и контроль за ходом ее выполнения</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C0089F">
        <w:rPr>
          <w:sz w:val="28"/>
          <w:szCs w:val="28"/>
        </w:rPr>
        <w:lastRenderedPageBreak/>
        <w:t>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F500C7" w:rsidRDefault="00F500C7" w:rsidP="004F7B41">
      <w:pPr>
        <w:jc w:val="center"/>
        <w:rPr>
          <w:b/>
          <w:sz w:val="28"/>
          <w:szCs w:val="28"/>
        </w:rPr>
      </w:pPr>
    </w:p>
    <w:p w:rsidR="000C6F68" w:rsidRDefault="000C6F68" w:rsidP="004F7B41">
      <w:pPr>
        <w:jc w:val="center"/>
        <w:rPr>
          <w:b/>
          <w:sz w:val="28"/>
          <w:szCs w:val="28"/>
        </w:rPr>
      </w:pPr>
      <w:r>
        <w:rPr>
          <w:b/>
          <w:sz w:val="28"/>
          <w:szCs w:val="28"/>
        </w:rPr>
        <w:t>5</w:t>
      </w:r>
      <w:r w:rsidRPr="007F6E32">
        <w:rPr>
          <w:b/>
          <w:sz w:val="28"/>
          <w:szCs w:val="28"/>
        </w:rPr>
        <w:t>. Прогноз ожидаемых социально-экономических результатов</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r>
        <w:rPr>
          <w:b/>
          <w:sz w:val="22"/>
          <w:szCs w:val="22"/>
        </w:rPr>
        <w:t xml:space="preserve">Симоновского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307E2B"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AF0F84">
        <w:rPr>
          <w:rStyle w:val="af7"/>
          <w:color w:val="000000"/>
        </w:rPr>
        <w:t xml:space="preserve">                                        </w:t>
      </w:r>
      <w:r w:rsidR="006A491F">
        <w:rPr>
          <w:rStyle w:val="af7"/>
          <w:color w:val="000000"/>
        </w:rPr>
        <w:t xml:space="preserve">                                   </w:t>
      </w:r>
      <w:r w:rsidR="00AF0F84">
        <w:rPr>
          <w:rStyle w:val="af7"/>
          <w:color w:val="000000"/>
        </w:rPr>
        <w:t xml:space="preserve"> </w:t>
      </w:r>
      <w:r w:rsidR="00B6647B">
        <w:rPr>
          <w:rStyle w:val="af7"/>
          <w:color w:val="000000"/>
        </w:rPr>
        <w:t xml:space="preserve"> от 13.02.2023г. №22</w:t>
      </w:r>
      <w:r w:rsidR="00717BC5">
        <w:rPr>
          <w:rStyle w:val="af7"/>
          <w:color w:val="000000"/>
        </w:rPr>
        <w:t>,  от 15.06.2023г. №77</w:t>
      </w:r>
      <w:r w:rsidR="00AF0F84">
        <w:rPr>
          <w:rStyle w:val="af7"/>
          <w:color w:val="000000"/>
        </w:rPr>
        <w:t>,   от 29.06.2023г. №86</w:t>
      </w:r>
      <w:r w:rsidR="006A491F">
        <w:rPr>
          <w:rStyle w:val="af7"/>
          <w:color w:val="000000"/>
        </w:rPr>
        <w:t>, от 06.09.2023г. №108</w:t>
      </w:r>
      <w:r w:rsidR="00307E2B">
        <w:rPr>
          <w:rStyle w:val="af7"/>
          <w:color w:val="000000"/>
        </w:rPr>
        <w:t>,</w:t>
      </w:r>
    </w:p>
    <w:p w:rsidR="000C6F68" w:rsidRPr="0010630A" w:rsidRDefault="00307E2B" w:rsidP="001127D1">
      <w:pPr>
        <w:ind w:left="2"/>
        <w:jc w:val="center"/>
        <w:rPr>
          <w:rStyle w:val="af7"/>
          <w:color w:val="000000"/>
        </w:rPr>
      </w:pPr>
      <w:r>
        <w:rPr>
          <w:rStyle w:val="af7"/>
          <w:color w:val="000000"/>
        </w:rPr>
        <w:t xml:space="preserve">                    </w:t>
      </w:r>
      <w:r w:rsidR="007137BE">
        <w:rPr>
          <w:rStyle w:val="af7"/>
          <w:color w:val="000000"/>
        </w:rPr>
        <w:t xml:space="preserve">                               </w:t>
      </w:r>
      <w:r w:rsidR="0080290C">
        <w:rPr>
          <w:rStyle w:val="af7"/>
          <w:color w:val="000000"/>
        </w:rPr>
        <w:t xml:space="preserve">    </w:t>
      </w:r>
      <w:r w:rsidR="00CC600C">
        <w:rPr>
          <w:rStyle w:val="af7"/>
          <w:color w:val="000000"/>
        </w:rPr>
        <w:t xml:space="preserve">                                         </w:t>
      </w:r>
      <w:r w:rsidR="007137BE">
        <w:rPr>
          <w:rStyle w:val="af7"/>
          <w:color w:val="000000"/>
        </w:rPr>
        <w:t xml:space="preserve">  </w:t>
      </w:r>
      <w:r w:rsidR="00F500C7">
        <w:rPr>
          <w:rStyle w:val="af7"/>
          <w:color w:val="000000"/>
        </w:rPr>
        <w:t xml:space="preserve">                                       </w:t>
      </w:r>
      <w:r>
        <w:rPr>
          <w:rStyle w:val="af7"/>
          <w:color w:val="000000"/>
        </w:rPr>
        <w:t>от 22.09.2023 №115</w:t>
      </w:r>
      <w:r w:rsidR="0080290C">
        <w:rPr>
          <w:rStyle w:val="af7"/>
          <w:color w:val="000000"/>
        </w:rPr>
        <w:t>, от 12.10.2023г. №119</w:t>
      </w:r>
      <w:r w:rsidR="00CC600C">
        <w:rPr>
          <w:rStyle w:val="af7"/>
          <w:color w:val="000000"/>
        </w:rPr>
        <w:t>, от 24.11.2023г. №129</w:t>
      </w:r>
      <w:r w:rsidR="003A1D03">
        <w:rPr>
          <w:rStyle w:val="af7"/>
          <w:color w:val="000000"/>
        </w:rPr>
        <w:t>, от</w:t>
      </w:r>
      <w:r w:rsidR="000F77BC">
        <w:rPr>
          <w:rStyle w:val="af7"/>
          <w:color w:val="000000"/>
        </w:rPr>
        <w:t xml:space="preserve">  27</w:t>
      </w:r>
      <w:r w:rsidR="00735867">
        <w:rPr>
          <w:rStyle w:val="af7"/>
          <w:color w:val="000000"/>
        </w:rPr>
        <w:t>.12.2023г. №152</w:t>
      </w:r>
      <w:r w:rsidR="003A1D03">
        <w:rPr>
          <w:rStyle w:val="af7"/>
          <w:color w:val="000000"/>
        </w:rPr>
        <w:t xml:space="preserve"> </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FE70F8" w:rsidP="00164D00">
            <w:pPr>
              <w:tabs>
                <w:tab w:val="left" w:pos="882"/>
              </w:tabs>
              <w:snapToGrid w:val="0"/>
              <w:ind w:left="-55"/>
              <w:jc w:val="center"/>
              <w:rPr>
                <w:b/>
              </w:rPr>
            </w:pPr>
            <w:r>
              <w:rPr>
                <w:b/>
              </w:rPr>
              <w:t>2024 г</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FE70F8" w:rsidP="00164D00">
            <w:pPr>
              <w:snapToGrid w:val="0"/>
              <w:ind w:left="-55"/>
              <w:jc w:val="center"/>
              <w:rPr>
                <w:b/>
              </w:rPr>
            </w:pPr>
            <w:r>
              <w:rPr>
                <w:b/>
              </w:rPr>
              <w:t>2024г.</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FE70F8" w:rsidP="00164D00">
            <w:pPr>
              <w:snapToGrid w:val="0"/>
              <w:ind w:left="-55"/>
              <w:jc w:val="center"/>
              <w:rPr>
                <w:b/>
              </w:rPr>
            </w:pPr>
            <w:r>
              <w:rPr>
                <w:b/>
              </w:rPr>
              <w:t xml:space="preserve">2024г. </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D53ED9" w:rsidP="00164D00">
            <w:pPr>
              <w:rPr>
                <w:b/>
              </w:rPr>
            </w:pPr>
            <w:r>
              <w:rPr>
                <w:b/>
              </w:rPr>
              <w:t xml:space="preserve"> </w:t>
            </w:r>
            <w:r w:rsidR="008F6BC2">
              <w:rPr>
                <w:b/>
              </w:rPr>
              <w:t>6287,4</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r w:rsidR="00592EC6">
              <w:t>4</w:t>
            </w:r>
            <w:r w:rsidR="008F6BC2">
              <w:t>59,9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53ED9" w:rsidP="00164D00">
            <w:pPr>
              <w:jc w:val="center"/>
            </w:pPr>
            <w:r>
              <w:t>200</w:t>
            </w:r>
            <w:r w:rsidR="0064094B">
              <w:t>4,5</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0736A3" w:rsidP="00164D00">
            <w:pPr>
              <w:jc w:val="center"/>
            </w:pPr>
            <w:r>
              <w:t>1737,1</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8F6BC2">
              <w:rPr>
                <w:b/>
              </w:rPr>
              <w:t>9923,0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1967AC" w:rsidRDefault="000C6F68" w:rsidP="00164D00">
            <w:pPr>
              <w:pStyle w:val="af9"/>
              <w:jc w:val="center"/>
              <w:rPr>
                <w:i/>
                <w:sz w:val="20"/>
                <w:szCs w:val="20"/>
              </w:rPr>
            </w:pPr>
            <w:r w:rsidRPr="001967AC">
              <w:rPr>
                <w:i/>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1967AC" w:rsidRDefault="001F3F40" w:rsidP="00164D00">
            <w:pPr>
              <w:pStyle w:val="af9"/>
              <w:jc w:val="center"/>
              <w:rPr>
                <w:i/>
                <w:sz w:val="20"/>
                <w:szCs w:val="20"/>
              </w:rPr>
            </w:pPr>
            <w:r w:rsidRPr="001967AC">
              <w:rPr>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1967AC" w:rsidRDefault="000736A3" w:rsidP="00164D00">
            <w:pPr>
              <w:pStyle w:val="af9"/>
              <w:jc w:val="center"/>
              <w:rPr>
                <w:i/>
                <w:sz w:val="20"/>
                <w:szCs w:val="20"/>
              </w:rPr>
            </w:pPr>
            <w:r w:rsidRPr="001967AC">
              <w:rPr>
                <w:i/>
                <w:sz w:val="20"/>
                <w:szCs w:val="20"/>
              </w:rPr>
              <w:t>6354,0</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8F6BC2">
              <w:rPr>
                <w:b/>
              </w:rPr>
              <w:t>1063,9</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8F6BC2" w:rsidP="00164D00">
            <w:pPr>
              <w:pStyle w:val="af9"/>
              <w:jc w:val="center"/>
              <w:rPr>
                <w:sz w:val="20"/>
                <w:szCs w:val="20"/>
              </w:rPr>
            </w:pPr>
            <w:r>
              <w:rPr>
                <w:sz w:val="20"/>
                <w:szCs w:val="20"/>
              </w:rPr>
              <w:t>37,7</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201F2" w:rsidP="00164D00">
            <w:pPr>
              <w:pStyle w:val="af9"/>
              <w:jc w:val="center"/>
              <w:rPr>
                <w:sz w:val="20"/>
                <w:szCs w:val="20"/>
              </w:rPr>
            </w:pPr>
            <w:r>
              <w:rPr>
                <w:sz w:val="20"/>
                <w:szCs w:val="20"/>
              </w:rPr>
              <w:t>2</w:t>
            </w:r>
            <w:r w:rsidR="0064094B">
              <w:rPr>
                <w:sz w:val="20"/>
                <w:szCs w:val="20"/>
              </w:rPr>
              <w:t>57,9</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0736A3" w:rsidP="00164D00">
            <w:pPr>
              <w:pStyle w:val="af9"/>
              <w:jc w:val="center"/>
              <w:rPr>
                <w:sz w:val="20"/>
                <w:szCs w:val="20"/>
              </w:rPr>
            </w:pPr>
            <w:r>
              <w:rPr>
                <w:sz w:val="20"/>
                <w:szCs w:val="20"/>
              </w:rPr>
              <w:t>2</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8F6BC2" w:rsidP="00164D00">
            <w:pPr>
              <w:snapToGrid w:val="0"/>
              <w:jc w:val="center"/>
              <w:rPr>
                <w:b/>
              </w:rPr>
            </w:pPr>
            <w:r>
              <w:rPr>
                <w:b/>
              </w:rPr>
              <w:t>452,8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D53ED9" w:rsidP="00164D00">
            <w:pPr>
              <w:pStyle w:val="af9"/>
              <w:jc w:val="center"/>
              <w:rPr>
                <w:sz w:val="20"/>
                <w:szCs w:val="20"/>
              </w:rPr>
            </w:pPr>
            <w:r>
              <w:rPr>
                <w:sz w:val="20"/>
                <w:szCs w:val="20"/>
              </w:rPr>
              <w:t>14</w:t>
            </w:r>
            <w:r w:rsidR="00D201F2">
              <w:rPr>
                <w:sz w:val="20"/>
                <w:szCs w:val="20"/>
              </w:rPr>
              <w:t>0</w:t>
            </w:r>
            <w:r w:rsidR="00722E96">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0C6F68" w:rsidRDefault="000736A3" w:rsidP="00164D00">
            <w:pPr>
              <w:pStyle w:val="af9"/>
              <w:jc w:val="center"/>
              <w:rPr>
                <w:sz w:val="20"/>
                <w:szCs w:val="20"/>
              </w:rPr>
            </w:pPr>
            <w:r>
              <w:rPr>
                <w:sz w:val="20"/>
                <w:szCs w:val="20"/>
              </w:rPr>
              <w:t>1</w:t>
            </w:r>
            <w:r w:rsidR="00722E96">
              <w:rPr>
                <w:sz w:val="20"/>
                <w:szCs w:val="20"/>
              </w:rPr>
              <w:t>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w:t>
            </w:r>
            <w:r w:rsidR="008F6BC2">
              <w:rPr>
                <w:b/>
              </w:rPr>
              <w:t>7 727,1</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9C1255" w:rsidP="00297DA2">
            <w:pPr>
              <w:pStyle w:val="af9"/>
              <w:rPr>
                <w:b/>
                <w:sz w:val="20"/>
                <w:szCs w:val="20"/>
              </w:rPr>
            </w:pPr>
            <w:r>
              <w:rPr>
                <w:b/>
                <w:sz w:val="20"/>
                <w:szCs w:val="20"/>
              </w:rPr>
              <w:t xml:space="preserve">     </w:t>
            </w:r>
            <w:r w:rsidR="008F6BC2">
              <w:rPr>
                <w:b/>
                <w:sz w:val="20"/>
                <w:szCs w:val="20"/>
              </w:rPr>
              <w:t>497,6</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0736A3">
              <w:rPr>
                <w:b/>
                <w:sz w:val="20"/>
                <w:szCs w:val="20"/>
              </w:rPr>
              <w:t> 037,1</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736A3" w:rsidP="00164D00">
            <w:pPr>
              <w:pStyle w:val="af9"/>
              <w:jc w:val="center"/>
              <w:rPr>
                <w:b/>
                <w:sz w:val="20"/>
                <w:szCs w:val="20"/>
              </w:rPr>
            </w:pPr>
            <w:r>
              <w:rPr>
                <w:b/>
                <w:sz w:val="20"/>
                <w:szCs w:val="20"/>
              </w:rPr>
              <w:t>6354,0</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499" w:rsidRDefault="00DC2499">
      <w:r>
        <w:separator/>
      </w:r>
    </w:p>
  </w:endnote>
  <w:endnote w:type="continuationSeparator" w:id="1">
    <w:p w:rsidR="00DC2499" w:rsidRDefault="00DC2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499" w:rsidRDefault="00DC2499">
      <w:r>
        <w:separator/>
      </w:r>
    </w:p>
  </w:footnote>
  <w:footnote w:type="continuationSeparator" w:id="1">
    <w:p w:rsidR="00DC2499" w:rsidRDefault="00DC2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BC"/>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05"/>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689"/>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D95"/>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3D2"/>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5E97"/>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867"/>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32"/>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27FC3"/>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0325"/>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73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3D2"/>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743"/>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02"/>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2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499"/>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49534-9D33-4897-93E7-76F5E2D9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9</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257</cp:revision>
  <cp:lastPrinted>2024-01-09T06:00:00Z</cp:lastPrinted>
  <dcterms:created xsi:type="dcterms:W3CDTF">2021-11-17T06:33:00Z</dcterms:created>
  <dcterms:modified xsi:type="dcterms:W3CDTF">2024-02-16T12:25:00Z</dcterms:modified>
</cp:coreProperties>
</file>